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2C8D" w14:textId="2DC4D574" w:rsidR="003479A7" w:rsidRDefault="0087298E" w:rsidP="003479A7">
      <w:pPr>
        <w:pStyle w:val="Title"/>
      </w:pPr>
      <w:r w:rsidRPr="008E1EFB">
        <w:t>Warwick District Council</w:t>
      </w:r>
      <w:r w:rsidR="008E1EFB" w:rsidRPr="008E1EFB">
        <w:t xml:space="preserve"> </w:t>
      </w:r>
      <w:r w:rsidRPr="008E1EFB">
        <w:t>5 Year</w:t>
      </w:r>
      <w:r w:rsidR="004C1421" w:rsidRPr="008E1EFB">
        <w:t xml:space="preserve"> Housing</w:t>
      </w:r>
      <w:r w:rsidRPr="008E1EFB">
        <w:t xml:space="preserve"> Land Supply</w:t>
      </w:r>
    </w:p>
    <w:p w14:paraId="582E7E58" w14:textId="77777777" w:rsidR="003E6693" w:rsidRPr="003E6693" w:rsidRDefault="003E6693" w:rsidP="003E6693"/>
    <w:tbl>
      <w:tblPr>
        <w:tblW w:w="5000" w:type="pct"/>
        <w:tblLook w:val="04A0" w:firstRow="1" w:lastRow="0" w:firstColumn="1" w:lastColumn="0" w:noHBand="0" w:noVBand="1"/>
      </w:tblPr>
      <w:tblGrid>
        <w:gridCol w:w="422"/>
        <w:gridCol w:w="7138"/>
        <w:gridCol w:w="1234"/>
        <w:gridCol w:w="222"/>
      </w:tblGrid>
      <w:tr w:rsidR="00EC5083" w:rsidRPr="00F3259E" w14:paraId="37038313" w14:textId="77777777" w:rsidTr="00EC5083">
        <w:trPr>
          <w:trHeight w:val="315"/>
        </w:trPr>
        <w:tc>
          <w:tcPr>
            <w:tcW w:w="4877" w:type="pct"/>
            <w:gridSpan w:val="3"/>
            <w:tcBorders>
              <w:top w:val="single" w:sz="8" w:space="0" w:color="auto"/>
              <w:left w:val="single" w:sz="8" w:space="0" w:color="auto"/>
              <w:bottom w:val="single" w:sz="8" w:space="0" w:color="auto"/>
              <w:right w:val="single" w:sz="8" w:space="0" w:color="auto"/>
            </w:tcBorders>
            <w:shd w:val="clear" w:color="000000" w:fill="BFBFBF"/>
          </w:tcPr>
          <w:p w14:paraId="1CBB2651" w14:textId="41BC0054" w:rsidR="00EC5083" w:rsidRPr="00EC5083" w:rsidRDefault="00EC5083" w:rsidP="00F3259E">
            <w:pPr>
              <w:spacing w:after="0" w:line="240" w:lineRule="auto"/>
              <w:rPr>
                <w:rFonts w:ascii="Calibri" w:eastAsia="Times New Roman" w:hAnsi="Calibri" w:cs="Calibri"/>
                <w:i/>
                <w:iCs/>
                <w:color w:val="000000"/>
                <w:sz w:val="22"/>
                <w:lang w:eastAsia="en-GB"/>
              </w:rPr>
            </w:pPr>
            <w:r w:rsidRPr="00EC5083">
              <w:rPr>
                <w:rFonts w:ascii="Calibri" w:eastAsia="Times New Roman" w:hAnsi="Calibri" w:cs="Calibri"/>
                <w:b/>
                <w:bCs/>
                <w:color w:val="000000"/>
                <w:sz w:val="36"/>
                <w:szCs w:val="36"/>
                <w:lang w:eastAsia="en-GB"/>
              </w:rPr>
              <w:t>5YHLS Calculations 1</w:t>
            </w:r>
            <w:r w:rsidRPr="00EC5083">
              <w:rPr>
                <w:rFonts w:ascii="Calibri" w:eastAsia="Times New Roman" w:hAnsi="Calibri" w:cs="Calibri"/>
                <w:b/>
                <w:bCs/>
                <w:color w:val="000000"/>
                <w:sz w:val="36"/>
                <w:szCs w:val="36"/>
                <w:vertAlign w:val="superscript"/>
                <w:lang w:eastAsia="en-GB"/>
              </w:rPr>
              <w:t>st</w:t>
            </w:r>
            <w:r w:rsidRPr="00EC5083">
              <w:rPr>
                <w:rFonts w:ascii="Calibri" w:eastAsia="Times New Roman" w:hAnsi="Calibri" w:cs="Calibri"/>
                <w:b/>
                <w:bCs/>
                <w:color w:val="000000"/>
                <w:sz w:val="36"/>
                <w:szCs w:val="36"/>
                <w:lang w:eastAsia="en-GB"/>
              </w:rPr>
              <w:t xml:space="preserve"> April 202</w:t>
            </w:r>
            <w:r w:rsidR="006021F7">
              <w:rPr>
                <w:rFonts w:ascii="Calibri" w:eastAsia="Times New Roman" w:hAnsi="Calibri" w:cs="Calibri"/>
                <w:b/>
                <w:bCs/>
                <w:color w:val="000000"/>
                <w:sz w:val="36"/>
                <w:szCs w:val="36"/>
                <w:lang w:eastAsia="en-GB"/>
              </w:rPr>
              <w:t>5</w:t>
            </w:r>
          </w:p>
        </w:tc>
        <w:tc>
          <w:tcPr>
            <w:tcW w:w="123" w:type="pct"/>
            <w:tcBorders>
              <w:top w:val="nil"/>
              <w:left w:val="nil"/>
              <w:bottom w:val="nil"/>
              <w:right w:val="nil"/>
            </w:tcBorders>
            <w:noWrap/>
            <w:vAlign w:val="bottom"/>
          </w:tcPr>
          <w:p w14:paraId="52B9A533" w14:textId="77777777" w:rsidR="00EC5083" w:rsidRPr="00F3259E" w:rsidRDefault="00EC5083" w:rsidP="00F3259E">
            <w:pPr>
              <w:spacing w:after="0" w:line="240" w:lineRule="auto"/>
              <w:rPr>
                <w:rFonts w:ascii="Calibri" w:eastAsia="Times New Roman" w:hAnsi="Calibri" w:cs="Calibri"/>
                <w:i/>
                <w:iCs/>
                <w:color w:val="000000"/>
                <w:sz w:val="22"/>
                <w:lang w:eastAsia="en-GB"/>
              </w:rPr>
            </w:pPr>
          </w:p>
        </w:tc>
      </w:tr>
      <w:tr w:rsidR="005337DF" w:rsidRPr="00F3259E" w14:paraId="044B9E87" w14:textId="77777777" w:rsidTr="00AD3B0A">
        <w:trPr>
          <w:trHeight w:val="479"/>
        </w:trPr>
        <w:tc>
          <w:tcPr>
            <w:tcW w:w="231" w:type="pct"/>
            <w:tcBorders>
              <w:top w:val="single" w:sz="8" w:space="0" w:color="auto"/>
              <w:left w:val="single" w:sz="8" w:space="0" w:color="auto"/>
              <w:bottom w:val="single" w:sz="8" w:space="0" w:color="auto"/>
              <w:right w:val="nil"/>
            </w:tcBorders>
            <w:shd w:val="clear" w:color="000000" w:fill="auto"/>
          </w:tcPr>
          <w:p w14:paraId="11DC5095" w14:textId="77777777" w:rsidR="005337DF" w:rsidRPr="00F3259E" w:rsidRDefault="005337DF" w:rsidP="00F3259E">
            <w:pPr>
              <w:spacing w:after="0" w:line="240" w:lineRule="auto"/>
              <w:rPr>
                <w:rFonts w:ascii="Calibri" w:eastAsia="Times New Roman" w:hAnsi="Calibri" w:cs="Calibri"/>
                <w:b/>
                <w:bCs/>
                <w:i/>
                <w:iCs/>
                <w:color w:val="000000"/>
                <w:sz w:val="22"/>
                <w:u w:val="single"/>
                <w:lang w:eastAsia="en-GB"/>
              </w:rPr>
            </w:pPr>
          </w:p>
        </w:tc>
        <w:tc>
          <w:tcPr>
            <w:tcW w:w="4009" w:type="pct"/>
            <w:tcBorders>
              <w:top w:val="single" w:sz="8" w:space="0" w:color="auto"/>
              <w:left w:val="single" w:sz="8" w:space="0" w:color="auto"/>
              <w:bottom w:val="single" w:sz="8" w:space="0" w:color="auto"/>
              <w:right w:val="nil"/>
            </w:tcBorders>
            <w:shd w:val="clear" w:color="000000" w:fill="auto"/>
            <w:noWrap/>
            <w:vAlign w:val="center"/>
            <w:hideMark/>
          </w:tcPr>
          <w:p w14:paraId="79D5BF7E" w14:textId="2874F38E" w:rsidR="005337DF" w:rsidRPr="00AD3B0A" w:rsidRDefault="00F5542D" w:rsidP="00F3259E">
            <w:pPr>
              <w:spacing w:after="0" w:line="240" w:lineRule="auto"/>
              <w:rPr>
                <w:rFonts w:ascii="Calibri" w:eastAsia="Times New Roman" w:hAnsi="Calibri" w:cs="Calibri"/>
                <w:b/>
                <w:bCs/>
                <w:color w:val="000000"/>
                <w:szCs w:val="24"/>
                <w:lang w:eastAsia="en-GB"/>
              </w:rPr>
            </w:pPr>
            <w:r w:rsidRPr="00AD3B0A">
              <w:rPr>
                <w:rFonts w:ascii="Calibri" w:eastAsia="Times New Roman" w:hAnsi="Calibri" w:cs="Calibri"/>
                <w:b/>
                <w:bCs/>
                <w:color w:val="000000"/>
                <w:szCs w:val="24"/>
                <w:lang w:eastAsia="en-GB"/>
              </w:rPr>
              <w:t>REQUIREMENT CALCULATIONS</w:t>
            </w:r>
          </w:p>
        </w:tc>
        <w:tc>
          <w:tcPr>
            <w:tcW w:w="637" w:type="pct"/>
            <w:tcBorders>
              <w:top w:val="single" w:sz="8" w:space="0" w:color="auto"/>
              <w:left w:val="single" w:sz="8" w:space="0" w:color="auto"/>
              <w:bottom w:val="single" w:sz="8" w:space="0" w:color="auto"/>
              <w:right w:val="single" w:sz="8" w:space="0" w:color="auto"/>
            </w:tcBorders>
            <w:shd w:val="clear" w:color="000000" w:fill="auto"/>
            <w:noWrap/>
            <w:vAlign w:val="bottom"/>
            <w:hideMark/>
          </w:tcPr>
          <w:p w14:paraId="18204757" w14:textId="77777777" w:rsidR="005337DF" w:rsidRPr="00F3259E" w:rsidRDefault="005337DF" w:rsidP="00F3259E">
            <w:pPr>
              <w:spacing w:after="0" w:line="240" w:lineRule="auto"/>
              <w:rPr>
                <w:rFonts w:ascii="Calibri" w:eastAsia="Times New Roman" w:hAnsi="Calibri" w:cs="Calibri"/>
                <w:i/>
                <w:iCs/>
                <w:color w:val="000000"/>
                <w:sz w:val="22"/>
                <w:lang w:eastAsia="en-GB"/>
              </w:rPr>
            </w:pPr>
            <w:r w:rsidRPr="00F3259E">
              <w:rPr>
                <w:rFonts w:ascii="Calibri" w:eastAsia="Times New Roman" w:hAnsi="Calibri" w:cs="Calibri"/>
                <w:i/>
                <w:iCs/>
                <w:color w:val="000000"/>
                <w:sz w:val="22"/>
                <w:lang w:eastAsia="en-GB"/>
              </w:rPr>
              <w:t> </w:t>
            </w:r>
          </w:p>
        </w:tc>
        <w:tc>
          <w:tcPr>
            <w:tcW w:w="123" w:type="pct"/>
            <w:tcBorders>
              <w:top w:val="nil"/>
              <w:left w:val="nil"/>
              <w:bottom w:val="nil"/>
              <w:right w:val="nil"/>
            </w:tcBorders>
            <w:noWrap/>
            <w:vAlign w:val="bottom"/>
            <w:hideMark/>
          </w:tcPr>
          <w:p w14:paraId="295D8888" w14:textId="77777777" w:rsidR="005337DF" w:rsidRPr="00F3259E" w:rsidRDefault="005337DF" w:rsidP="00F3259E">
            <w:pPr>
              <w:spacing w:after="0" w:line="240" w:lineRule="auto"/>
              <w:rPr>
                <w:rFonts w:ascii="Calibri" w:eastAsia="Times New Roman" w:hAnsi="Calibri" w:cs="Calibri"/>
                <w:i/>
                <w:iCs/>
                <w:color w:val="000000"/>
                <w:sz w:val="22"/>
                <w:lang w:eastAsia="en-GB"/>
              </w:rPr>
            </w:pPr>
          </w:p>
        </w:tc>
      </w:tr>
      <w:tr w:rsidR="005337DF" w:rsidRPr="00F3259E" w14:paraId="000AE878" w14:textId="77777777" w:rsidTr="005337DF">
        <w:trPr>
          <w:trHeight w:val="600"/>
        </w:trPr>
        <w:tc>
          <w:tcPr>
            <w:tcW w:w="231" w:type="pct"/>
            <w:tcBorders>
              <w:top w:val="nil"/>
              <w:left w:val="single" w:sz="8" w:space="0" w:color="auto"/>
              <w:bottom w:val="single" w:sz="4" w:space="0" w:color="auto"/>
              <w:right w:val="nil"/>
            </w:tcBorders>
          </w:tcPr>
          <w:p w14:paraId="0A31219C" w14:textId="12D9723C" w:rsidR="005337DF" w:rsidRPr="00F8283E" w:rsidRDefault="005337DF" w:rsidP="00F3259E">
            <w:pPr>
              <w:spacing w:after="0" w:line="240" w:lineRule="auto"/>
              <w:rPr>
                <w:rFonts w:ascii="Calibri" w:eastAsia="Times New Roman" w:hAnsi="Calibri" w:cs="Calibri"/>
                <w:szCs w:val="24"/>
                <w:lang w:eastAsia="en-GB"/>
              </w:rPr>
            </w:pPr>
            <w:r w:rsidRPr="00F8283E">
              <w:rPr>
                <w:rFonts w:ascii="Calibri" w:eastAsia="Times New Roman" w:hAnsi="Calibri" w:cs="Calibri"/>
                <w:szCs w:val="24"/>
                <w:lang w:eastAsia="en-GB"/>
              </w:rPr>
              <w:t>A</w:t>
            </w:r>
          </w:p>
        </w:tc>
        <w:tc>
          <w:tcPr>
            <w:tcW w:w="4009" w:type="pct"/>
            <w:tcBorders>
              <w:top w:val="nil"/>
              <w:left w:val="single" w:sz="8" w:space="0" w:color="auto"/>
              <w:bottom w:val="single" w:sz="4" w:space="0" w:color="auto"/>
              <w:right w:val="nil"/>
            </w:tcBorders>
            <w:vAlign w:val="bottom"/>
            <w:hideMark/>
          </w:tcPr>
          <w:p w14:paraId="576B2204" w14:textId="2CBEED8E" w:rsidR="005337DF" w:rsidRPr="00F8283E" w:rsidRDefault="008366ED" w:rsidP="00F3259E">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Total</w:t>
            </w:r>
            <w:r w:rsidR="005337DF" w:rsidRPr="00F8283E">
              <w:rPr>
                <w:rFonts w:ascii="Calibri" w:eastAsia="Times New Roman" w:hAnsi="Calibri" w:cs="Calibri"/>
                <w:szCs w:val="24"/>
                <w:lang w:eastAsia="en-GB"/>
              </w:rPr>
              <w:t xml:space="preserve"> requirement over the next 5 years (1/4/2</w:t>
            </w:r>
            <w:r w:rsidR="006021F7">
              <w:rPr>
                <w:rFonts w:ascii="Calibri" w:eastAsia="Times New Roman" w:hAnsi="Calibri" w:cs="Calibri"/>
                <w:szCs w:val="24"/>
                <w:lang w:eastAsia="en-GB"/>
              </w:rPr>
              <w:t>5</w:t>
            </w:r>
            <w:r w:rsidR="005337DF" w:rsidRPr="00F8283E">
              <w:rPr>
                <w:rFonts w:ascii="Calibri" w:eastAsia="Times New Roman" w:hAnsi="Calibri" w:cs="Calibri"/>
                <w:szCs w:val="24"/>
                <w:lang w:eastAsia="en-GB"/>
              </w:rPr>
              <w:t xml:space="preserve"> to 31/3/</w:t>
            </w:r>
            <w:r w:rsidR="006021F7">
              <w:rPr>
                <w:rFonts w:ascii="Calibri" w:eastAsia="Times New Roman" w:hAnsi="Calibri" w:cs="Calibri"/>
                <w:szCs w:val="24"/>
                <w:lang w:eastAsia="en-GB"/>
              </w:rPr>
              <w:t>30</w:t>
            </w:r>
            <w:r w:rsidR="005337DF" w:rsidRPr="00F8283E">
              <w:rPr>
                <w:rFonts w:ascii="Calibri" w:eastAsia="Times New Roman" w:hAnsi="Calibri" w:cs="Calibri"/>
                <w:szCs w:val="24"/>
                <w:lang w:eastAsia="en-GB"/>
              </w:rPr>
              <w:t>) based on</w:t>
            </w:r>
            <w:r>
              <w:rPr>
                <w:rFonts w:ascii="Calibri" w:eastAsia="Times New Roman" w:hAnsi="Calibri" w:cs="Calibri"/>
                <w:szCs w:val="24"/>
                <w:lang w:eastAsia="en-GB"/>
              </w:rPr>
              <w:t xml:space="preserve"> the</w:t>
            </w:r>
            <w:r w:rsidR="005337DF" w:rsidRPr="00F8283E">
              <w:rPr>
                <w:rFonts w:ascii="Calibri" w:eastAsia="Times New Roman" w:hAnsi="Calibri" w:cs="Calibri"/>
                <w:szCs w:val="24"/>
                <w:lang w:eastAsia="en-GB"/>
              </w:rPr>
              <w:t xml:space="preserve"> </w:t>
            </w:r>
            <w:r w:rsidR="00A83B79">
              <w:rPr>
                <w:rFonts w:ascii="Calibri" w:eastAsia="Times New Roman" w:hAnsi="Calibri" w:cs="Calibri"/>
                <w:szCs w:val="24"/>
                <w:lang w:eastAsia="en-GB"/>
              </w:rPr>
              <w:t xml:space="preserve">Dec 2024 </w:t>
            </w:r>
            <w:r w:rsidR="005337DF" w:rsidRPr="00F8283E">
              <w:rPr>
                <w:rFonts w:ascii="Calibri" w:eastAsia="Times New Roman" w:hAnsi="Calibri" w:cs="Calibri"/>
                <w:szCs w:val="24"/>
                <w:lang w:eastAsia="en-GB"/>
              </w:rPr>
              <w:t xml:space="preserve">Standard Method </w:t>
            </w:r>
            <w:r>
              <w:rPr>
                <w:rFonts w:ascii="Calibri" w:eastAsia="Times New Roman" w:hAnsi="Calibri" w:cs="Calibri"/>
                <w:szCs w:val="24"/>
                <w:lang w:eastAsia="en-GB"/>
              </w:rPr>
              <w:t xml:space="preserve">annual requirement </w:t>
            </w:r>
            <w:r w:rsidR="005337DF" w:rsidRPr="00F8283E">
              <w:rPr>
                <w:rFonts w:ascii="Calibri" w:eastAsia="Times New Roman" w:hAnsi="Calibri" w:cs="Calibri"/>
                <w:szCs w:val="24"/>
                <w:lang w:eastAsia="en-GB"/>
              </w:rPr>
              <w:t xml:space="preserve">figure </w:t>
            </w:r>
            <w:r>
              <w:rPr>
                <w:rFonts w:ascii="Calibri" w:eastAsia="Times New Roman" w:hAnsi="Calibri" w:cs="Calibri"/>
                <w:szCs w:val="24"/>
                <w:lang w:eastAsia="en-GB"/>
              </w:rPr>
              <w:t xml:space="preserve">for WDC of </w:t>
            </w:r>
            <w:r w:rsidR="00131935">
              <w:rPr>
                <w:rFonts w:ascii="Calibri" w:eastAsia="Times New Roman" w:hAnsi="Calibri" w:cs="Calibri"/>
                <w:szCs w:val="24"/>
                <w:lang w:eastAsia="en-GB"/>
              </w:rPr>
              <w:t>10</w:t>
            </w:r>
            <w:r w:rsidR="001373BD">
              <w:rPr>
                <w:rFonts w:ascii="Calibri" w:eastAsia="Times New Roman" w:hAnsi="Calibri" w:cs="Calibri"/>
                <w:szCs w:val="24"/>
                <w:lang w:eastAsia="en-GB"/>
              </w:rPr>
              <w:t xml:space="preserve">85 </w:t>
            </w:r>
            <w:r>
              <w:rPr>
                <w:rFonts w:ascii="Calibri" w:eastAsia="Times New Roman" w:hAnsi="Calibri" w:cs="Calibri"/>
                <w:szCs w:val="24"/>
                <w:lang w:eastAsia="en-GB"/>
              </w:rPr>
              <w:t xml:space="preserve">dwellings per annum </w:t>
            </w:r>
          </w:p>
        </w:tc>
        <w:tc>
          <w:tcPr>
            <w:tcW w:w="637" w:type="pct"/>
            <w:tcBorders>
              <w:top w:val="nil"/>
              <w:left w:val="single" w:sz="8" w:space="0" w:color="auto"/>
              <w:bottom w:val="single" w:sz="4" w:space="0" w:color="auto"/>
              <w:right w:val="single" w:sz="8" w:space="0" w:color="auto"/>
            </w:tcBorders>
            <w:noWrap/>
            <w:vAlign w:val="bottom"/>
            <w:hideMark/>
          </w:tcPr>
          <w:p w14:paraId="4404EAF7" w14:textId="0C349862" w:rsidR="005337DF" w:rsidRPr="00F8283E" w:rsidRDefault="005A30B4" w:rsidP="00F3259E">
            <w:pPr>
              <w:spacing w:after="0" w:line="240" w:lineRule="auto"/>
              <w:jc w:val="right"/>
              <w:rPr>
                <w:rFonts w:ascii="Calibri" w:eastAsia="Times New Roman" w:hAnsi="Calibri" w:cs="Calibri"/>
                <w:szCs w:val="24"/>
                <w:lang w:eastAsia="en-GB"/>
              </w:rPr>
            </w:pPr>
            <w:r>
              <w:rPr>
                <w:rFonts w:ascii="Calibri" w:eastAsia="Times New Roman" w:hAnsi="Calibri" w:cs="Calibri"/>
                <w:szCs w:val="24"/>
                <w:lang w:eastAsia="en-GB"/>
              </w:rPr>
              <w:t>5</w:t>
            </w:r>
            <w:r w:rsidR="001373BD">
              <w:rPr>
                <w:rFonts w:ascii="Calibri" w:eastAsia="Times New Roman" w:hAnsi="Calibri" w:cs="Calibri"/>
                <w:szCs w:val="24"/>
                <w:lang w:eastAsia="en-GB"/>
              </w:rPr>
              <w:t>425</w:t>
            </w:r>
          </w:p>
        </w:tc>
        <w:tc>
          <w:tcPr>
            <w:tcW w:w="123" w:type="pct"/>
            <w:tcBorders>
              <w:top w:val="nil"/>
              <w:left w:val="nil"/>
              <w:bottom w:val="nil"/>
              <w:right w:val="nil"/>
            </w:tcBorders>
            <w:noWrap/>
            <w:vAlign w:val="bottom"/>
            <w:hideMark/>
          </w:tcPr>
          <w:p w14:paraId="0BB6D4B5" w14:textId="77777777" w:rsidR="005337DF" w:rsidRPr="00F3259E" w:rsidRDefault="005337DF" w:rsidP="00F3259E">
            <w:pPr>
              <w:spacing w:after="0" w:line="240" w:lineRule="auto"/>
              <w:jc w:val="right"/>
              <w:rPr>
                <w:rFonts w:ascii="Calibri" w:eastAsia="Times New Roman" w:hAnsi="Calibri" w:cs="Calibri"/>
                <w:sz w:val="22"/>
                <w:lang w:eastAsia="en-GB"/>
              </w:rPr>
            </w:pPr>
          </w:p>
        </w:tc>
      </w:tr>
      <w:tr w:rsidR="005337DF" w:rsidRPr="00F3259E" w14:paraId="09336A33" w14:textId="77777777" w:rsidTr="005337DF">
        <w:trPr>
          <w:trHeight w:val="615"/>
        </w:trPr>
        <w:tc>
          <w:tcPr>
            <w:tcW w:w="231" w:type="pct"/>
            <w:tcBorders>
              <w:top w:val="nil"/>
              <w:left w:val="single" w:sz="8" w:space="0" w:color="auto"/>
              <w:bottom w:val="nil"/>
              <w:right w:val="nil"/>
            </w:tcBorders>
          </w:tcPr>
          <w:p w14:paraId="36C2543A" w14:textId="3B001A00" w:rsidR="005337DF" w:rsidRPr="00F8283E" w:rsidRDefault="005337DF" w:rsidP="00F3259E">
            <w:pPr>
              <w:spacing w:after="0" w:line="240" w:lineRule="auto"/>
              <w:rPr>
                <w:rFonts w:ascii="Calibri" w:eastAsia="Times New Roman" w:hAnsi="Calibri" w:cs="Calibri"/>
                <w:szCs w:val="24"/>
                <w:lang w:eastAsia="en-GB"/>
              </w:rPr>
            </w:pPr>
            <w:r w:rsidRPr="00F8283E">
              <w:rPr>
                <w:rFonts w:ascii="Calibri" w:eastAsia="Times New Roman" w:hAnsi="Calibri" w:cs="Calibri"/>
                <w:szCs w:val="24"/>
                <w:lang w:eastAsia="en-GB"/>
              </w:rPr>
              <w:t>B</w:t>
            </w:r>
          </w:p>
        </w:tc>
        <w:tc>
          <w:tcPr>
            <w:tcW w:w="4009" w:type="pct"/>
            <w:tcBorders>
              <w:top w:val="nil"/>
              <w:left w:val="single" w:sz="8" w:space="0" w:color="auto"/>
              <w:bottom w:val="nil"/>
              <w:right w:val="nil"/>
            </w:tcBorders>
            <w:vAlign w:val="bottom"/>
            <w:hideMark/>
          </w:tcPr>
          <w:p w14:paraId="3D84E65C" w14:textId="57CE4CC7" w:rsidR="005337DF" w:rsidRPr="00F8283E" w:rsidRDefault="005337DF" w:rsidP="00F3259E">
            <w:pPr>
              <w:spacing w:after="0" w:line="240" w:lineRule="auto"/>
              <w:rPr>
                <w:rFonts w:ascii="Calibri" w:eastAsia="Times New Roman" w:hAnsi="Calibri" w:cs="Calibri"/>
                <w:szCs w:val="24"/>
                <w:lang w:eastAsia="en-GB"/>
              </w:rPr>
            </w:pPr>
            <w:r w:rsidRPr="00F8283E">
              <w:rPr>
                <w:rFonts w:ascii="Calibri" w:eastAsia="Times New Roman" w:hAnsi="Calibri" w:cs="Calibri"/>
                <w:szCs w:val="24"/>
                <w:lang w:eastAsia="en-GB"/>
              </w:rPr>
              <w:t xml:space="preserve">Buffer </w:t>
            </w:r>
            <w:r w:rsidR="005A30B4">
              <w:rPr>
                <w:rFonts w:ascii="Calibri" w:eastAsia="Times New Roman" w:hAnsi="Calibri" w:cs="Calibri"/>
                <w:szCs w:val="24"/>
                <w:lang w:eastAsia="en-GB"/>
              </w:rPr>
              <w:t>– either a 5% buffer to ensure choice and competition or 20% buffer where there is a significant under-delivery over the 3 previous years (5% applied for 202</w:t>
            </w:r>
            <w:r w:rsidR="006021F7">
              <w:rPr>
                <w:rFonts w:ascii="Calibri" w:eastAsia="Times New Roman" w:hAnsi="Calibri" w:cs="Calibri"/>
                <w:szCs w:val="24"/>
                <w:lang w:eastAsia="en-GB"/>
              </w:rPr>
              <w:t>5</w:t>
            </w:r>
            <w:r w:rsidR="005A30B4">
              <w:rPr>
                <w:rFonts w:ascii="Calibri" w:eastAsia="Times New Roman" w:hAnsi="Calibri" w:cs="Calibri"/>
                <w:szCs w:val="24"/>
                <w:lang w:eastAsia="en-GB"/>
              </w:rPr>
              <w:t xml:space="preserve"> update)</w:t>
            </w:r>
            <w:r w:rsidRPr="00F8283E">
              <w:rPr>
                <w:rFonts w:ascii="Calibri" w:eastAsia="Times New Roman" w:hAnsi="Calibri" w:cs="Calibri"/>
                <w:szCs w:val="24"/>
                <w:lang w:eastAsia="en-GB"/>
              </w:rPr>
              <w:t xml:space="preserve"> </w:t>
            </w:r>
          </w:p>
        </w:tc>
        <w:tc>
          <w:tcPr>
            <w:tcW w:w="637" w:type="pct"/>
            <w:tcBorders>
              <w:top w:val="nil"/>
              <w:left w:val="single" w:sz="8" w:space="0" w:color="auto"/>
              <w:bottom w:val="nil"/>
              <w:right w:val="single" w:sz="8" w:space="0" w:color="auto"/>
            </w:tcBorders>
            <w:noWrap/>
            <w:vAlign w:val="bottom"/>
            <w:hideMark/>
          </w:tcPr>
          <w:p w14:paraId="2E863C0E" w14:textId="323AC16F" w:rsidR="005337DF" w:rsidRPr="00F8283E" w:rsidRDefault="005337DF" w:rsidP="005A30B4">
            <w:pPr>
              <w:spacing w:after="0" w:line="240" w:lineRule="auto"/>
              <w:jc w:val="right"/>
              <w:rPr>
                <w:rFonts w:ascii="Calibri" w:eastAsia="Times New Roman" w:hAnsi="Calibri" w:cs="Calibri"/>
                <w:szCs w:val="24"/>
                <w:lang w:eastAsia="en-GB"/>
              </w:rPr>
            </w:pPr>
            <w:r w:rsidRPr="00F8283E">
              <w:rPr>
                <w:rFonts w:ascii="Calibri" w:eastAsia="Times New Roman" w:hAnsi="Calibri" w:cs="Calibri"/>
                <w:szCs w:val="24"/>
                <w:lang w:eastAsia="en-GB"/>
              </w:rPr>
              <w:t> </w:t>
            </w:r>
            <w:r w:rsidR="005A30B4">
              <w:rPr>
                <w:rFonts w:ascii="Calibri" w:eastAsia="Times New Roman" w:hAnsi="Calibri" w:cs="Calibri"/>
                <w:szCs w:val="24"/>
                <w:lang w:eastAsia="en-GB"/>
              </w:rPr>
              <w:t>2</w:t>
            </w:r>
            <w:r w:rsidR="001373BD">
              <w:rPr>
                <w:rFonts w:ascii="Calibri" w:eastAsia="Times New Roman" w:hAnsi="Calibri" w:cs="Calibri"/>
                <w:szCs w:val="24"/>
                <w:lang w:eastAsia="en-GB"/>
              </w:rPr>
              <w:t>71</w:t>
            </w:r>
          </w:p>
        </w:tc>
        <w:tc>
          <w:tcPr>
            <w:tcW w:w="123" w:type="pct"/>
            <w:tcBorders>
              <w:top w:val="nil"/>
              <w:left w:val="nil"/>
              <w:bottom w:val="nil"/>
              <w:right w:val="nil"/>
            </w:tcBorders>
            <w:noWrap/>
            <w:vAlign w:val="bottom"/>
            <w:hideMark/>
          </w:tcPr>
          <w:p w14:paraId="6EBAA406" w14:textId="77777777" w:rsidR="005337DF" w:rsidRPr="00F3259E" w:rsidRDefault="005337DF" w:rsidP="00F3259E">
            <w:pPr>
              <w:spacing w:after="0" w:line="240" w:lineRule="auto"/>
              <w:rPr>
                <w:rFonts w:ascii="Calibri" w:eastAsia="Times New Roman" w:hAnsi="Calibri" w:cs="Calibri"/>
                <w:sz w:val="22"/>
                <w:lang w:eastAsia="en-GB"/>
              </w:rPr>
            </w:pPr>
          </w:p>
        </w:tc>
      </w:tr>
      <w:tr w:rsidR="005337DF" w:rsidRPr="00F3259E" w14:paraId="726F3F34" w14:textId="77777777" w:rsidTr="005337DF">
        <w:trPr>
          <w:trHeight w:val="300"/>
        </w:trPr>
        <w:tc>
          <w:tcPr>
            <w:tcW w:w="231" w:type="pct"/>
            <w:tcBorders>
              <w:top w:val="single" w:sz="8" w:space="0" w:color="auto"/>
              <w:left w:val="single" w:sz="8" w:space="0" w:color="auto"/>
              <w:bottom w:val="single" w:sz="4" w:space="0" w:color="auto"/>
              <w:right w:val="nil"/>
            </w:tcBorders>
          </w:tcPr>
          <w:p w14:paraId="47AF2B76" w14:textId="40DE5337" w:rsidR="005337DF" w:rsidRPr="00E00CDA" w:rsidRDefault="00BD7E90" w:rsidP="00F3259E">
            <w:pPr>
              <w:spacing w:after="0" w:line="240" w:lineRule="auto"/>
              <w:rPr>
                <w:rFonts w:ascii="Calibri" w:eastAsia="Times New Roman" w:hAnsi="Calibri" w:cs="Calibri"/>
                <w:szCs w:val="24"/>
                <w:lang w:eastAsia="en-GB"/>
              </w:rPr>
            </w:pPr>
            <w:r w:rsidRPr="00E00CDA">
              <w:rPr>
                <w:rFonts w:ascii="Calibri" w:eastAsia="Times New Roman" w:hAnsi="Calibri" w:cs="Calibri"/>
                <w:szCs w:val="24"/>
                <w:lang w:eastAsia="en-GB"/>
              </w:rPr>
              <w:t>C</w:t>
            </w:r>
          </w:p>
        </w:tc>
        <w:tc>
          <w:tcPr>
            <w:tcW w:w="4009" w:type="pct"/>
            <w:tcBorders>
              <w:top w:val="single" w:sz="8" w:space="0" w:color="auto"/>
              <w:left w:val="single" w:sz="8" w:space="0" w:color="auto"/>
              <w:bottom w:val="single" w:sz="4" w:space="0" w:color="auto"/>
              <w:right w:val="nil"/>
            </w:tcBorders>
            <w:noWrap/>
            <w:vAlign w:val="bottom"/>
            <w:hideMark/>
          </w:tcPr>
          <w:p w14:paraId="147DEF49" w14:textId="1118C8D4" w:rsidR="005337DF" w:rsidRPr="00F8283E" w:rsidRDefault="00F8283E" w:rsidP="00F3259E">
            <w:pPr>
              <w:spacing w:after="0" w:line="240" w:lineRule="auto"/>
              <w:rPr>
                <w:rFonts w:ascii="Calibri" w:eastAsia="Times New Roman" w:hAnsi="Calibri" w:cs="Calibri"/>
                <w:b/>
                <w:bCs/>
                <w:szCs w:val="24"/>
                <w:lang w:eastAsia="en-GB"/>
              </w:rPr>
            </w:pPr>
            <w:r>
              <w:rPr>
                <w:rFonts w:ascii="Calibri" w:eastAsia="Times New Roman" w:hAnsi="Calibri" w:cs="Calibri"/>
                <w:b/>
                <w:bCs/>
                <w:szCs w:val="24"/>
                <w:lang w:eastAsia="en-GB"/>
              </w:rPr>
              <w:t xml:space="preserve">Total </w:t>
            </w:r>
            <w:proofErr w:type="gramStart"/>
            <w:r w:rsidR="008366ED">
              <w:rPr>
                <w:rFonts w:ascii="Calibri" w:eastAsia="Times New Roman" w:hAnsi="Calibri" w:cs="Calibri"/>
                <w:b/>
                <w:bCs/>
                <w:szCs w:val="24"/>
                <w:lang w:eastAsia="en-GB"/>
              </w:rPr>
              <w:t>5</w:t>
            </w:r>
            <w:r>
              <w:rPr>
                <w:rFonts w:ascii="Calibri" w:eastAsia="Times New Roman" w:hAnsi="Calibri" w:cs="Calibri"/>
                <w:b/>
                <w:bCs/>
                <w:szCs w:val="24"/>
                <w:lang w:eastAsia="en-GB"/>
              </w:rPr>
              <w:t xml:space="preserve"> </w:t>
            </w:r>
            <w:r w:rsidR="00A53713">
              <w:rPr>
                <w:rFonts w:ascii="Calibri" w:eastAsia="Times New Roman" w:hAnsi="Calibri" w:cs="Calibri"/>
                <w:b/>
                <w:bCs/>
                <w:szCs w:val="24"/>
                <w:lang w:eastAsia="en-GB"/>
              </w:rPr>
              <w:t>y</w:t>
            </w:r>
            <w:r>
              <w:rPr>
                <w:rFonts w:ascii="Calibri" w:eastAsia="Times New Roman" w:hAnsi="Calibri" w:cs="Calibri"/>
                <w:b/>
                <w:bCs/>
                <w:szCs w:val="24"/>
                <w:lang w:eastAsia="en-GB"/>
              </w:rPr>
              <w:t>ear</w:t>
            </w:r>
            <w:proofErr w:type="gramEnd"/>
            <w:r>
              <w:rPr>
                <w:rFonts w:ascii="Calibri" w:eastAsia="Times New Roman" w:hAnsi="Calibri" w:cs="Calibri"/>
                <w:b/>
                <w:bCs/>
                <w:szCs w:val="24"/>
                <w:lang w:eastAsia="en-GB"/>
              </w:rPr>
              <w:t xml:space="preserve"> </w:t>
            </w:r>
            <w:r w:rsidR="00A53713">
              <w:rPr>
                <w:rFonts w:ascii="Calibri" w:eastAsia="Times New Roman" w:hAnsi="Calibri" w:cs="Calibri"/>
                <w:b/>
                <w:bCs/>
                <w:szCs w:val="24"/>
                <w:lang w:eastAsia="en-GB"/>
              </w:rPr>
              <w:t>r</w:t>
            </w:r>
            <w:r>
              <w:rPr>
                <w:rFonts w:ascii="Calibri" w:eastAsia="Times New Roman" w:hAnsi="Calibri" w:cs="Calibri"/>
                <w:b/>
                <w:bCs/>
                <w:szCs w:val="24"/>
                <w:lang w:eastAsia="en-GB"/>
              </w:rPr>
              <w:t>equirement</w:t>
            </w:r>
            <w:r w:rsidR="00BD7E90" w:rsidRPr="00F8283E">
              <w:rPr>
                <w:rFonts w:ascii="Calibri" w:eastAsia="Times New Roman" w:hAnsi="Calibri" w:cs="Calibri"/>
                <w:b/>
                <w:bCs/>
                <w:szCs w:val="24"/>
                <w:lang w:eastAsia="en-GB"/>
              </w:rPr>
              <w:t xml:space="preserve"> (A+B)</w:t>
            </w:r>
          </w:p>
        </w:tc>
        <w:tc>
          <w:tcPr>
            <w:tcW w:w="637" w:type="pct"/>
            <w:tcBorders>
              <w:top w:val="single" w:sz="8" w:space="0" w:color="auto"/>
              <w:left w:val="single" w:sz="8" w:space="0" w:color="auto"/>
              <w:bottom w:val="single" w:sz="4" w:space="0" w:color="auto"/>
              <w:right w:val="single" w:sz="8" w:space="0" w:color="auto"/>
            </w:tcBorders>
            <w:noWrap/>
            <w:vAlign w:val="bottom"/>
            <w:hideMark/>
          </w:tcPr>
          <w:p w14:paraId="3E51854F" w14:textId="3A736DD8" w:rsidR="005337DF" w:rsidRPr="00F8283E" w:rsidRDefault="005A30B4" w:rsidP="00F3259E">
            <w:pPr>
              <w:spacing w:after="0" w:line="240" w:lineRule="auto"/>
              <w:jc w:val="right"/>
              <w:rPr>
                <w:rFonts w:ascii="Calibri" w:eastAsia="Times New Roman" w:hAnsi="Calibri" w:cs="Calibri"/>
                <w:b/>
                <w:bCs/>
                <w:szCs w:val="24"/>
                <w:lang w:eastAsia="en-GB"/>
              </w:rPr>
            </w:pPr>
            <w:r>
              <w:rPr>
                <w:rFonts w:ascii="Calibri" w:eastAsia="Times New Roman" w:hAnsi="Calibri" w:cs="Calibri"/>
                <w:b/>
                <w:bCs/>
                <w:szCs w:val="24"/>
                <w:lang w:eastAsia="en-GB"/>
              </w:rPr>
              <w:t>5</w:t>
            </w:r>
            <w:r w:rsidR="001373BD">
              <w:rPr>
                <w:rFonts w:ascii="Calibri" w:eastAsia="Times New Roman" w:hAnsi="Calibri" w:cs="Calibri"/>
                <w:b/>
                <w:bCs/>
                <w:szCs w:val="24"/>
                <w:lang w:eastAsia="en-GB"/>
              </w:rPr>
              <w:t>696</w:t>
            </w:r>
          </w:p>
        </w:tc>
        <w:tc>
          <w:tcPr>
            <w:tcW w:w="123" w:type="pct"/>
            <w:tcBorders>
              <w:top w:val="nil"/>
              <w:left w:val="nil"/>
              <w:bottom w:val="nil"/>
              <w:right w:val="nil"/>
            </w:tcBorders>
            <w:noWrap/>
            <w:vAlign w:val="bottom"/>
            <w:hideMark/>
          </w:tcPr>
          <w:p w14:paraId="5873ED9B" w14:textId="77777777" w:rsidR="005337DF" w:rsidRPr="00F3259E" w:rsidRDefault="005337DF" w:rsidP="00F3259E">
            <w:pPr>
              <w:spacing w:after="0" w:line="240" w:lineRule="auto"/>
              <w:jc w:val="right"/>
              <w:rPr>
                <w:rFonts w:ascii="Calibri" w:eastAsia="Times New Roman" w:hAnsi="Calibri" w:cs="Calibri"/>
                <w:b/>
                <w:bCs/>
                <w:sz w:val="22"/>
                <w:lang w:eastAsia="en-GB"/>
              </w:rPr>
            </w:pPr>
          </w:p>
        </w:tc>
      </w:tr>
      <w:tr w:rsidR="005337DF" w:rsidRPr="00F3259E" w14:paraId="3BB39E8B" w14:textId="77777777" w:rsidTr="005337DF">
        <w:trPr>
          <w:trHeight w:val="315"/>
        </w:trPr>
        <w:tc>
          <w:tcPr>
            <w:tcW w:w="231" w:type="pct"/>
            <w:tcBorders>
              <w:top w:val="nil"/>
              <w:left w:val="single" w:sz="8" w:space="0" w:color="auto"/>
              <w:bottom w:val="single" w:sz="8" w:space="0" w:color="auto"/>
              <w:right w:val="nil"/>
            </w:tcBorders>
          </w:tcPr>
          <w:p w14:paraId="2F6928E6" w14:textId="3858AD83" w:rsidR="005337DF" w:rsidRPr="00F8283E" w:rsidRDefault="00BD7E90" w:rsidP="00F3259E">
            <w:pPr>
              <w:spacing w:after="0" w:line="240" w:lineRule="auto"/>
              <w:rPr>
                <w:rFonts w:ascii="Calibri" w:eastAsia="Times New Roman" w:hAnsi="Calibri" w:cs="Calibri"/>
                <w:szCs w:val="24"/>
                <w:lang w:eastAsia="en-GB"/>
              </w:rPr>
            </w:pPr>
            <w:r w:rsidRPr="00F8283E">
              <w:rPr>
                <w:rFonts w:ascii="Calibri" w:eastAsia="Times New Roman" w:hAnsi="Calibri" w:cs="Calibri"/>
                <w:szCs w:val="24"/>
                <w:lang w:eastAsia="en-GB"/>
              </w:rPr>
              <w:t>D</w:t>
            </w:r>
          </w:p>
        </w:tc>
        <w:tc>
          <w:tcPr>
            <w:tcW w:w="4009" w:type="pct"/>
            <w:tcBorders>
              <w:top w:val="nil"/>
              <w:left w:val="single" w:sz="8" w:space="0" w:color="auto"/>
              <w:bottom w:val="single" w:sz="8" w:space="0" w:color="auto"/>
              <w:right w:val="nil"/>
            </w:tcBorders>
            <w:noWrap/>
            <w:vAlign w:val="bottom"/>
            <w:hideMark/>
          </w:tcPr>
          <w:p w14:paraId="30D89D4F" w14:textId="59EC5215" w:rsidR="005337DF" w:rsidRPr="00F8283E" w:rsidRDefault="008366ED" w:rsidP="00F3259E">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xml:space="preserve">Annual </w:t>
            </w:r>
            <w:proofErr w:type="gramStart"/>
            <w:r>
              <w:rPr>
                <w:rFonts w:ascii="Calibri" w:eastAsia="Times New Roman" w:hAnsi="Calibri" w:cs="Calibri"/>
                <w:szCs w:val="24"/>
                <w:lang w:eastAsia="en-GB"/>
              </w:rPr>
              <w:t>5 year</w:t>
            </w:r>
            <w:proofErr w:type="gramEnd"/>
            <w:r>
              <w:rPr>
                <w:rFonts w:ascii="Calibri" w:eastAsia="Times New Roman" w:hAnsi="Calibri" w:cs="Calibri"/>
                <w:szCs w:val="24"/>
                <w:lang w:eastAsia="en-GB"/>
              </w:rPr>
              <w:t xml:space="preserve"> requirement</w:t>
            </w:r>
            <w:r w:rsidR="00BD7E90" w:rsidRPr="00F8283E">
              <w:rPr>
                <w:rFonts w:ascii="Calibri" w:eastAsia="Times New Roman" w:hAnsi="Calibri" w:cs="Calibri"/>
                <w:szCs w:val="24"/>
                <w:lang w:eastAsia="en-GB"/>
              </w:rPr>
              <w:t xml:space="preserve"> (C/5)</w:t>
            </w:r>
          </w:p>
        </w:tc>
        <w:tc>
          <w:tcPr>
            <w:tcW w:w="637" w:type="pct"/>
            <w:tcBorders>
              <w:top w:val="nil"/>
              <w:left w:val="single" w:sz="8" w:space="0" w:color="auto"/>
              <w:bottom w:val="single" w:sz="8" w:space="0" w:color="auto"/>
              <w:right w:val="single" w:sz="8" w:space="0" w:color="auto"/>
            </w:tcBorders>
            <w:noWrap/>
            <w:vAlign w:val="bottom"/>
            <w:hideMark/>
          </w:tcPr>
          <w:p w14:paraId="0117BD70" w14:textId="1DC3087E" w:rsidR="005337DF" w:rsidRPr="00F8283E" w:rsidRDefault="005A30B4" w:rsidP="00F3259E">
            <w:pPr>
              <w:spacing w:after="0" w:line="240" w:lineRule="auto"/>
              <w:jc w:val="right"/>
              <w:rPr>
                <w:rFonts w:ascii="Calibri" w:eastAsia="Times New Roman" w:hAnsi="Calibri" w:cs="Calibri"/>
                <w:szCs w:val="24"/>
                <w:lang w:eastAsia="en-GB"/>
              </w:rPr>
            </w:pPr>
            <w:r>
              <w:rPr>
                <w:rFonts w:ascii="Calibri" w:eastAsia="Times New Roman" w:hAnsi="Calibri" w:cs="Calibri"/>
                <w:szCs w:val="24"/>
                <w:lang w:eastAsia="en-GB"/>
              </w:rPr>
              <w:t>11</w:t>
            </w:r>
            <w:r w:rsidR="001373BD">
              <w:rPr>
                <w:rFonts w:ascii="Calibri" w:eastAsia="Times New Roman" w:hAnsi="Calibri" w:cs="Calibri"/>
                <w:szCs w:val="24"/>
                <w:lang w:eastAsia="en-GB"/>
              </w:rPr>
              <w:t>39</w:t>
            </w:r>
          </w:p>
        </w:tc>
        <w:tc>
          <w:tcPr>
            <w:tcW w:w="123" w:type="pct"/>
            <w:tcBorders>
              <w:top w:val="nil"/>
              <w:left w:val="nil"/>
              <w:bottom w:val="nil"/>
              <w:right w:val="nil"/>
            </w:tcBorders>
            <w:noWrap/>
            <w:vAlign w:val="bottom"/>
            <w:hideMark/>
          </w:tcPr>
          <w:p w14:paraId="06CB2E15" w14:textId="77777777" w:rsidR="005337DF" w:rsidRPr="00F3259E" w:rsidRDefault="005337DF" w:rsidP="00F3259E">
            <w:pPr>
              <w:spacing w:after="0" w:line="240" w:lineRule="auto"/>
              <w:jc w:val="right"/>
              <w:rPr>
                <w:rFonts w:ascii="Calibri" w:eastAsia="Times New Roman" w:hAnsi="Calibri" w:cs="Calibri"/>
                <w:sz w:val="22"/>
                <w:lang w:eastAsia="en-GB"/>
              </w:rPr>
            </w:pPr>
          </w:p>
        </w:tc>
      </w:tr>
      <w:tr w:rsidR="005337DF" w:rsidRPr="00F3259E" w14:paraId="6DF1F0AC" w14:textId="77777777" w:rsidTr="00EC5083">
        <w:trPr>
          <w:trHeight w:val="315"/>
        </w:trPr>
        <w:tc>
          <w:tcPr>
            <w:tcW w:w="231" w:type="pct"/>
            <w:tcBorders>
              <w:top w:val="nil"/>
              <w:left w:val="nil"/>
              <w:bottom w:val="single" w:sz="8" w:space="0" w:color="auto"/>
              <w:right w:val="nil"/>
            </w:tcBorders>
          </w:tcPr>
          <w:p w14:paraId="3414B8C1" w14:textId="77777777" w:rsidR="005337DF" w:rsidRPr="00F3259E" w:rsidRDefault="005337DF" w:rsidP="00F3259E">
            <w:pPr>
              <w:spacing w:after="0" w:line="240" w:lineRule="auto"/>
              <w:rPr>
                <w:rFonts w:ascii="Times New Roman" w:eastAsia="Times New Roman" w:hAnsi="Times New Roman" w:cs="Times New Roman"/>
                <w:sz w:val="20"/>
                <w:szCs w:val="20"/>
                <w:lang w:eastAsia="en-GB"/>
              </w:rPr>
            </w:pPr>
          </w:p>
        </w:tc>
        <w:tc>
          <w:tcPr>
            <w:tcW w:w="4009" w:type="pct"/>
            <w:tcBorders>
              <w:top w:val="nil"/>
              <w:left w:val="nil"/>
              <w:bottom w:val="single" w:sz="8" w:space="0" w:color="auto"/>
              <w:right w:val="nil"/>
            </w:tcBorders>
            <w:noWrap/>
            <w:vAlign w:val="bottom"/>
            <w:hideMark/>
          </w:tcPr>
          <w:p w14:paraId="74D60157" w14:textId="7052D07A" w:rsidR="005337DF" w:rsidRPr="00F3259E" w:rsidRDefault="005337DF" w:rsidP="00F3259E">
            <w:pPr>
              <w:spacing w:after="0" w:line="240" w:lineRule="auto"/>
              <w:rPr>
                <w:rFonts w:ascii="Times New Roman" w:eastAsia="Times New Roman" w:hAnsi="Times New Roman" w:cs="Times New Roman"/>
                <w:sz w:val="20"/>
                <w:szCs w:val="20"/>
                <w:lang w:eastAsia="en-GB"/>
              </w:rPr>
            </w:pPr>
          </w:p>
        </w:tc>
        <w:tc>
          <w:tcPr>
            <w:tcW w:w="637" w:type="pct"/>
            <w:tcBorders>
              <w:top w:val="nil"/>
              <w:left w:val="nil"/>
              <w:bottom w:val="single" w:sz="8" w:space="0" w:color="auto"/>
              <w:right w:val="nil"/>
            </w:tcBorders>
            <w:noWrap/>
            <w:vAlign w:val="bottom"/>
            <w:hideMark/>
          </w:tcPr>
          <w:p w14:paraId="50FE49A9" w14:textId="77777777" w:rsidR="005337DF" w:rsidRPr="00F3259E" w:rsidRDefault="005337DF" w:rsidP="00F3259E">
            <w:pPr>
              <w:spacing w:after="0" w:line="240" w:lineRule="auto"/>
              <w:rPr>
                <w:rFonts w:ascii="Times New Roman" w:eastAsia="Times New Roman" w:hAnsi="Times New Roman" w:cs="Times New Roman"/>
                <w:sz w:val="20"/>
                <w:szCs w:val="20"/>
                <w:lang w:eastAsia="en-GB"/>
              </w:rPr>
            </w:pPr>
          </w:p>
        </w:tc>
        <w:tc>
          <w:tcPr>
            <w:tcW w:w="123" w:type="pct"/>
            <w:tcBorders>
              <w:top w:val="nil"/>
              <w:left w:val="nil"/>
              <w:bottom w:val="nil"/>
              <w:right w:val="nil"/>
            </w:tcBorders>
            <w:noWrap/>
            <w:vAlign w:val="bottom"/>
            <w:hideMark/>
          </w:tcPr>
          <w:p w14:paraId="465CB754" w14:textId="77777777" w:rsidR="005337DF" w:rsidRPr="00F3259E" w:rsidRDefault="005337DF" w:rsidP="00F3259E">
            <w:pPr>
              <w:spacing w:after="0" w:line="240" w:lineRule="auto"/>
              <w:rPr>
                <w:rFonts w:ascii="Times New Roman" w:eastAsia="Times New Roman" w:hAnsi="Times New Roman" w:cs="Times New Roman"/>
                <w:sz w:val="20"/>
                <w:szCs w:val="20"/>
                <w:lang w:eastAsia="en-GB"/>
              </w:rPr>
            </w:pPr>
          </w:p>
        </w:tc>
      </w:tr>
      <w:tr w:rsidR="005337DF" w:rsidRPr="00F3259E" w14:paraId="1E4C15F4" w14:textId="77777777" w:rsidTr="00AD3B0A">
        <w:trPr>
          <w:trHeight w:val="481"/>
        </w:trPr>
        <w:tc>
          <w:tcPr>
            <w:tcW w:w="231" w:type="pct"/>
            <w:tcBorders>
              <w:top w:val="single" w:sz="8" w:space="0" w:color="auto"/>
              <w:left w:val="single" w:sz="8" w:space="0" w:color="auto"/>
              <w:bottom w:val="single" w:sz="8" w:space="0" w:color="auto"/>
              <w:right w:val="nil"/>
            </w:tcBorders>
          </w:tcPr>
          <w:p w14:paraId="236AFA51" w14:textId="77777777" w:rsidR="005337DF" w:rsidRPr="00F3259E" w:rsidRDefault="005337DF" w:rsidP="00F3259E">
            <w:pPr>
              <w:spacing w:after="0" w:line="240" w:lineRule="auto"/>
              <w:rPr>
                <w:rFonts w:ascii="Calibri" w:eastAsia="Times New Roman" w:hAnsi="Calibri" w:cs="Calibri"/>
                <w:b/>
                <w:bCs/>
                <w:i/>
                <w:iCs/>
                <w:color w:val="000000"/>
                <w:sz w:val="22"/>
                <w:u w:val="single"/>
                <w:lang w:eastAsia="en-GB"/>
              </w:rPr>
            </w:pPr>
          </w:p>
        </w:tc>
        <w:tc>
          <w:tcPr>
            <w:tcW w:w="4009" w:type="pct"/>
            <w:tcBorders>
              <w:top w:val="single" w:sz="8" w:space="0" w:color="auto"/>
              <w:left w:val="single" w:sz="8" w:space="0" w:color="auto"/>
              <w:bottom w:val="single" w:sz="8" w:space="0" w:color="auto"/>
              <w:right w:val="nil"/>
            </w:tcBorders>
            <w:noWrap/>
            <w:vAlign w:val="center"/>
            <w:hideMark/>
          </w:tcPr>
          <w:p w14:paraId="75AAEA8C" w14:textId="5975CBE9" w:rsidR="005337DF" w:rsidRPr="00AD3B0A" w:rsidRDefault="00F5542D" w:rsidP="00F3259E">
            <w:pPr>
              <w:spacing w:after="0" w:line="240" w:lineRule="auto"/>
              <w:rPr>
                <w:rFonts w:ascii="Calibri" w:eastAsia="Times New Roman" w:hAnsi="Calibri" w:cs="Calibri"/>
                <w:b/>
                <w:bCs/>
                <w:color w:val="000000"/>
                <w:szCs w:val="24"/>
                <w:lang w:eastAsia="en-GB"/>
              </w:rPr>
            </w:pPr>
            <w:r w:rsidRPr="00AD3B0A">
              <w:rPr>
                <w:rFonts w:ascii="Calibri" w:eastAsia="Times New Roman" w:hAnsi="Calibri" w:cs="Calibri"/>
                <w:b/>
                <w:bCs/>
                <w:color w:val="000000"/>
                <w:szCs w:val="24"/>
                <w:lang w:eastAsia="en-GB"/>
              </w:rPr>
              <w:t>SUPPLY CALCULATIONS</w:t>
            </w:r>
            <w:r w:rsidR="005337DF" w:rsidRPr="00AD3B0A">
              <w:rPr>
                <w:rFonts w:ascii="Calibri" w:eastAsia="Times New Roman" w:hAnsi="Calibri" w:cs="Calibri"/>
                <w:b/>
                <w:bCs/>
                <w:color w:val="000000"/>
                <w:szCs w:val="24"/>
                <w:lang w:eastAsia="en-GB"/>
              </w:rPr>
              <w:t xml:space="preserve"> </w:t>
            </w:r>
          </w:p>
        </w:tc>
        <w:tc>
          <w:tcPr>
            <w:tcW w:w="637" w:type="pct"/>
            <w:tcBorders>
              <w:top w:val="single" w:sz="8" w:space="0" w:color="auto"/>
              <w:left w:val="single" w:sz="8" w:space="0" w:color="auto"/>
              <w:bottom w:val="single" w:sz="8" w:space="0" w:color="auto"/>
              <w:right w:val="single" w:sz="8" w:space="0" w:color="auto"/>
            </w:tcBorders>
            <w:noWrap/>
            <w:vAlign w:val="bottom"/>
            <w:hideMark/>
          </w:tcPr>
          <w:p w14:paraId="38F4E4A3" w14:textId="77777777" w:rsidR="005337DF" w:rsidRPr="00F3259E" w:rsidRDefault="005337DF" w:rsidP="00F3259E">
            <w:pPr>
              <w:spacing w:after="0" w:line="240" w:lineRule="auto"/>
              <w:rPr>
                <w:rFonts w:ascii="Calibri" w:eastAsia="Times New Roman" w:hAnsi="Calibri" w:cs="Calibri"/>
                <w:color w:val="000000"/>
                <w:sz w:val="22"/>
                <w:lang w:eastAsia="en-GB"/>
              </w:rPr>
            </w:pPr>
            <w:r w:rsidRPr="00F3259E">
              <w:rPr>
                <w:rFonts w:ascii="Calibri" w:eastAsia="Times New Roman" w:hAnsi="Calibri" w:cs="Calibri"/>
                <w:color w:val="000000"/>
                <w:sz w:val="22"/>
                <w:lang w:eastAsia="en-GB"/>
              </w:rPr>
              <w:t> </w:t>
            </w:r>
          </w:p>
        </w:tc>
        <w:tc>
          <w:tcPr>
            <w:tcW w:w="123" w:type="pct"/>
            <w:tcBorders>
              <w:top w:val="nil"/>
              <w:left w:val="nil"/>
              <w:bottom w:val="nil"/>
              <w:right w:val="nil"/>
            </w:tcBorders>
            <w:noWrap/>
            <w:vAlign w:val="bottom"/>
            <w:hideMark/>
          </w:tcPr>
          <w:p w14:paraId="25F40AB9" w14:textId="77777777" w:rsidR="005337DF" w:rsidRPr="00F3259E" w:rsidRDefault="005337DF" w:rsidP="00F3259E">
            <w:pPr>
              <w:spacing w:after="0" w:line="240" w:lineRule="auto"/>
              <w:rPr>
                <w:rFonts w:ascii="Calibri" w:eastAsia="Times New Roman" w:hAnsi="Calibri" w:cs="Calibri"/>
                <w:color w:val="000000"/>
                <w:sz w:val="22"/>
                <w:lang w:eastAsia="en-GB"/>
              </w:rPr>
            </w:pPr>
          </w:p>
        </w:tc>
      </w:tr>
      <w:tr w:rsidR="005337DF" w:rsidRPr="00F3259E" w14:paraId="0EA64F71" w14:textId="77777777" w:rsidTr="005337DF">
        <w:trPr>
          <w:trHeight w:val="300"/>
        </w:trPr>
        <w:tc>
          <w:tcPr>
            <w:tcW w:w="231" w:type="pct"/>
            <w:tcBorders>
              <w:top w:val="nil"/>
              <w:left w:val="single" w:sz="8" w:space="0" w:color="auto"/>
              <w:bottom w:val="single" w:sz="4" w:space="0" w:color="auto"/>
              <w:right w:val="nil"/>
            </w:tcBorders>
          </w:tcPr>
          <w:p w14:paraId="751E99D8" w14:textId="3218ACFD" w:rsidR="005337DF" w:rsidRPr="00F8283E" w:rsidRDefault="00BD7E90"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E</w:t>
            </w:r>
          </w:p>
        </w:tc>
        <w:tc>
          <w:tcPr>
            <w:tcW w:w="4009" w:type="pct"/>
            <w:tcBorders>
              <w:top w:val="nil"/>
              <w:left w:val="single" w:sz="8" w:space="0" w:color="auto"/>
              <w:bottom w:val="single" w:sz="4" w:space="0" w:color="auto"/>
              <w:right w:val="nil"/>
            </w:tcBorders>
            <w:noWrap/>
            <w:vAlign w:val="bottom"/>
            <w:hideMark/>
          </w:tcPr>
          <w:p w14:paraId="67F2F4B3" w14:textId="5A11BA22" w:rsidR="005337DF" w:rsidRPr="00F8283E" w:rsidRDefault="005337DF"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Commitments - Planning Permissions</w:t>
            </w:r>
          </w:p>
        </w:tc>
        <w:tc>
          <w:tcPr>
            <w:tcW w:w="637" w:type="pct"/>
            <w:tcBorders>
              <w:top w:val="nil"/>
              <w:left w:val="single" w:sz="8" w:space="0" w:color="auto"/>
              <w:bottom w:val="single" w:sz="4" w:space="0" w:color="auto"/>
              <w:right w:val="single" w:sz="8" w:space="0" w:color="auto"/>
            </w:tcBorders>
            <w:noWrap/>
            <w:vAlign w:val="bottom"/>
            <w:hideMark/>
          </w:tcPr>
          <w:p w14:paraId="6EA266AB" w14:textId="40EF717D" w:rsidR="005337DF" w:rsidRPr="00F8283E" w:rsidRDefault="005337DF" w:rsidP="00F3259E">
            <w:pPr>
              <w:spacing w:after="0" w:line="240" w:lineRule="auto"/>
              <w:jc w:val="right"/>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3</w:t>
            </w:r>
            <w:r w:rsidR="00B84E42">
              <w:rPr>
                <w:rFonts w:ascii="Calibri" w:eastAsia="Times New Roman" w:hAnsi="Calibri" w:cs="Calibri"/>
                <w:color w:val="000000"/>
                <w:szCs w:val="24"/>
                <w:lang w:eastAsia="en-GB"/>
              </w:rPr>
              <w:t>192</w:t>
            </w:r>
          </w:p>
        </w:tc>
        <w:tc>
          <w:tcPr>
            <w:tcW w:w="123" w:type="pct"/>
            <w:tcBorders>
              <w:top w:val="nil"/>
              <w:left w:val="nil"/>
              <w:bottom w:val="nil"/>
              <w:right w:val="nil"/>
            </w:tcBorders>
            <w:noWrap/>
            <w:vAlign w:val="bottom"/>
            <w:hideMark/>
          </w:tcPr>
          <w:p w14:paraId="6749A0AF" w14:textId="77777777" w:rsidR="005337DF" w:rsidRPr="00F3259E" w:rsidRDefault="005337DF" w:rsidP="00F3259E">
            <w:pPr>
              <w:spacing w:after="0" w:line="240" w:lineRule="auto"/>
              <w:jc w:val="right"/>
              <w:rPr>
                <w:rFonts w:ascii="Calibri" w:eastAsia="Times New Roman" w:hAnsi="Calibri" w:cs="Calibri"/>
                <w:color w:val="000000"/>
                <w:sz w:val="22"/>
                <w:lang w:eastAsia="en-GB"/>
              </w:rPr>
            </w:pPr>
          </w:p>
        </w:tc>
      </w:tr>
      <w:tr w:rsidR="005337DF" w:rsidRPr="00F3259E" w14:paraId="35EE923E" w14:textId="77777777" w:rsidTr="005337DF">
        <w:trPr>
          <w:trHeight w:val="300"/>
        </w:trPr>
        <w:tc>
          <w:tcPr>
            <w:tcW w:w="231" w:type="pct"/>
            <w:tcBorders>
              <w:top w:val="nil"/>
              <w:left w:val="single" w:sz="8" w:space="0" w:color="auto"/>
              <w:bottom w:val="single" w:sz="4" w:space="0" w:color="auto"/>
              <w:right w:val="nil"/>
            </w:tcBorders>
          </w:tcPr>
          <w:p w14:paraId="656F0ED2" w14:textId="77B12406" w:rsidR="005337DF" w:rsidRPr="00F8283E" w:rsidRDefault="00BD7E90"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F</w:t>
            </w:r>
          </w:p>
        </w:tc>
        <w:tc>
          <w:tcPr>
            <w:tcW w:w="4009" w:type="pct"/>
            <w:tcBorders>
              <w:top w:val="nil"/>
              <w:left w:val="single" w:sz="8" w:space="0" w:color="auto"/>
              <w:bottom w:val="single" w:sz="4" w:space="0" w:color="auto"/>
              <w:right w:val="nil"/>
            </w:tcBorders>
            <w:noWrap/>
            <w:vAlign w:val="bottom"/>
            <w:hideMark/>
          </w:tcPr>
          <w:p w14:paraId="1D424AD0" w14:textId="4A0816A2" w:rsidR="005337DF" w:rsidRPr="00F8283E" w:rsidRDefault="005337DF"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Commitments - Residential Institutions (@1.</w:t>
            </w:r>
            <w:r w:rsidR="00B02625">
              <w:rPr>
                <w:rFonts w:ascii="Calibri" w:eastAsia="Times New Roman" w:hAnsi="Calibri" w:cs="Calibri"/>
                <w:color w:val="000000"/>
                <w:szCs w:val="24"/>
                <w:lang w:eastAsia="en-GB"/>
              </w:rPr>
              <w:t>9</w:t>
            </w:r>
            <w:r w:rsidRPr="00F8283E">
              <w:rPr>
                <w:rFonts w:ascii="Calibri" w:eastAsia="Times New Roman" w:hAnsi="Calibri" w:cs="Calibri"/>
                <w:color w:val="000000"/>
                <w:szCs w:val="24"/>
                <w:lang w:eastAsia="en-GB"/>
              </w:rPr>
              <w:t xml:space="preserve"> residents per dwelling)</w:t>
            </w:r>
          </w:p>
        </w:tc>
        <w:tc>
          <w:tcPr>
            <w:tcW w:w="637" w:type="pct"/>
            <w:tcBorders>
              <w:top w:val="nil"/>
              <w:left w:val="single" w:sz="8" w:space="0" w:color="auto"/>
              <w:bottom w:val="single" w:sz="4" w:space="0" w:color="auto"/>
              <w:right w:val="single" w:sz="8" w:space="0" w:color="auto"/>
            </w:tcBorders>
            <w:noWrap/>
            <w:vAlign w:val="bottom"/>
            <w:hideMark/>
          </w:tcPr>
          <w:p w14:paraId="133CE036" w14:textId="7DEAA0DD" w:rsidR="005337DF" w:rsidRPr="00F8283E" w:rsidRDefault="00B84E42" w:rsidP="00F3259E">
            <w:pPr>
              <w:spacing w:after="0" w:line="240" w:lineRule="auto"/>
              <w:jc w:val="right"/>
              <w:rPr>
                <w:rFonts w:ascii="Calibri" w:eastAsia="Times New Roman" w:hAnsi="Calibri" w:cs="Calibri"/>
                <w:color w:val="000000"/>
                <w:szCs w:val="24"/>
                <w:lang w:eastAsia="en-GB"/>
              </w:rPr>
            </w:pPr>
            <w:r>
              <w:rPr>
                <w:rFonts w:ascii="Calibri" w:eastAsia="Times New Roman" w:hAnsi="Calibri" w:cs="Calibri"/>
                <w:color w:val="000000"/>
                <w:szCs w:val="24"/>
                <w:lang w:eastAsia="en-GB"/>
              </w:rPr>
              <w:t>11</w:t>
            </w:r>
          </w:p>
        </w:tc>
        <w:tc>
          <w:tcPr>
            <w:tcW w:w="123" w:type="pct"/>
            <w:tcBorders>
              <w:top w:val="nil"/>
              <w:left w:val="nil"/>
              <w:bottom w:val="nil"/>
              <w:right w:val="nil"/>
            </w:tcBorders>
            <w:noWrap/>
            <w:vAlign w:val="bottom"/>
            <w:hideMark/>
          </w:tcPr>
          <w:p w14:paraId="21723882" w14:textId="77777777" w:rsidR="005337DF" w:rsidRPr="00F3259E" w:rsidRDefault="005337DF" w:rsidP="00F3259E">
            <w:pPr>
              <w:spacing w:after="0" w:line="240" w:lineRule="auto"/>
              <w:jc w:val="right"/>
              <w:rPr>
                <w:rFonts w:ascii="Calibri" w:eastAsia="Times New Roman" w:hAnsi="Calibri" w:cs="Calibri"/>
                <w:color w:val="000000"/>
                <w:sz w:val="22"/>
                <w:lang w:eastAsia="en-GB"/>
              </w:rPr>
            </w:pPr>
          </w:p>
        </w:tc>
      </w:tr>
      <w:tr w:rsidR="005337DF" w:rsidRPr="00F3259E" w14:paraId="2D84427A" w14:textId="77777777" w:rsidTr="005337DF">
        <w:trPr>
          <w:trHeight w:val="300"/>
        </w:trPr>
        <w:tc>
          <w:tcPr>
            <w:tcW w:w="231" w:type="pct"/>
            <w:tcBorders>
              <w:top w:val="nil"/>
              <w:left w:val="single" w:sz="8" w:space="0" w:color="auto"/>
              <w:bottom w:val="single" w:sz="4" w:space="0" w:color="auto"/>
              <w:right w:val="nil"/>
            </w:tcBorders>
          </w:tcPr>
          <w:p w14:paraId="25E77D3C" w14:textId="61BFEA45" w:rsidR="005337DF" w:rsidRPr="00F8283E" w:rsidRDefault="00BD7E90"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G</w:t>
            </w:r>
          </w:p>
        </w:tc>
        <w:tc>
          <w:tcPr>
            <w:tcW w:w="4009" w:type="pct"/>
            <w:tcBorders>
              <w:top w:val="nil"/>
              <w:left w:val="single" w:sz="8" w:space="0" w:color="auto"/>
              <w:bottom w:val="single" w:sz="4" w:space="0" w:color="auto"/>
              <w:right w:val="nil"/>
            </w:tcBorders>
            <w:noWrap/>
            <w:vAlign w:val="bottom"/>
            <w:hideMark/>
          </w:tcPr>
          <w:p w14:paraId="1C6D2526" w14:textId="5B18510A" w:rsidR="005337DF" w:rsidRPr="00F8283E" w:rsidRDefault="005337DF"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Commitments - Students and HMOs (@</w:t>
            </w:r>
            <w:r w:rsidR="00B02625">
              <w:rPr>
                <w:rFonts w:ascii="Calibri" w:eastAsia="Times New Roman" w:hAnsi="Calibri" w:cs="Calibri"/>
                <w:color w:val="000000"/>
                <w:szCs w:val="24"/>
                <w:lang w:eastAsia="en-GB"/>
              </w:rPr>
              <w:t>2.4</w:t>
            </w:r>
            <w:r w:rsidRPr="00F8283E">
              <w:rPr>
                <w:rFonts w:ascii="Calibri" w:eastAsia="Times New Roman" w:hAnsi="Calibri" w:cs="Calibri"/>
                <w:color w:val="000000"/>
                <w:szCs w:val="24"/>
                <w:lang w:eastAsia="en-GB"/>
              </w:rPr>
              <w:t xml:space="preserve"> students per dwelling)</w:t>
            </w:r>
          </w:p>
        </w:tc>
        <w:tc>
          <w:tcPr>
            <w:tcW w:w="637" w:type="pct"/>
            <w:tcBorders>
              <w:top w:val="nil"/>
              <w:left w:val="single" w:sz="8" w:space="0" w:color="auto"/>
              <w:bottom w:val="single" w:sz="4" w:space="0" w:color="auto"/>
              <w:right w:val="single" w:sz="8" w:space="0" w:color="auto"/>
            </w:tcBorders>
            <w:noWrap/>
            <w:vAlign w:val="bottom"/>
            <w:hideMark/>
          </w:tcPr>
          <w:p w14:paraId="2236E75E" w14:textId="0143CA42" w:rsidR="005337DF" w:rsidRPr="00F8283E" w:rsidRDefault="00B84E42" w:rsidP="00F3259E">
            <w:pPr>
              <w:spacing w:after="0" w:line="240" w:lineRule="auto"/>
              <w:jc w:val="right"/>
              <w:rPr>
                <w:rFonts w:ascii="Calibri" w:eastAsia="Times New Roman" w:hAnsi="Calibri" w:cs="Calibri"/>
                <w:color w:val="000000"/>
                <w:szCs w:val="24"/>
                <w:lang w:eastAsia="en-GB"/>
              </w:rPr>
            </w:pPr>
            <w:r>
              <w:rPr>
                <w:rFonts w:ascii="Calibri" w:eastAsia="Times New Roman" w:hAnsi="Calibri" w:cs="Calibri"/>
                <w:color w:val="000000"/>
                <w:szCs w:val="24"/>
                <w:lang w:eastAsia="en-GB"/>
              </w:rPr>
              <w:t>100</w:t>
            </w:r>
          </w:p>
        </w:tc>
        <w:tc>
          <w:tcPr>
            <w:tcW w:w="123" w:type="pct"/>
            <w:tcBorders>
              <w:top w:val="nil"/>
              <w:left w:val="nil"/>
              <w:bottom w:val="nil"/>
              <w:right w:val="nil"/>
            </w:tcBorders>
            <w:noWrap/>
            <w:vAlign w:val="bottom"/>
            <w:hideMark/>
          </w:tcPr>
          <w:p w14:paraId="2F56BC58" w14:textId="77777777" w:rsidR="005337DF" w:rsidRPr="00F3259E" w:rsidRDefault="005337DF" w:rsidP="00F3259E">
            <w:pPr>
              <w:spacing w:after="0" w:line="240" w:lineRule="auto"/>
              <w:jc w:val="right"/>
              <w:rPr>
                <w:rFonts w:ascii="Calibri" w:eastAsia="Times New Roman" w:hAnsi="Calibri" w:cs="Calibri"/>
                <w:color w:val="000000"/>
                <w:sz w:val="22"/>
                <w:lang w:eastAsia="en-GB"/>
              </w:rPr>
            </w:pPr>
          </w:p>
        </w:tc>
      </w:tr>
      <w:tr w:rsidR="005337DF" w:rsidRPr="00F3259E" w14:paraId="632B987E" w14:textId="77777777" w:rsidTr="005337DF">
        <w:trPr>
          <w:trHeight w:val="300"/>
        </w:trPr>
        <w:tc>
          <w:tcPr>
            <w:tcW w:w="231" w:type="pct"/>
            <w:tcBorders>
              <w:top w:val="nil"/>
              <w:left w:val="single" w:sz="8" w:space="0" w:color="auto"/>
              <w:bottom w:val="single" w:sz="4" w:space="0" w:color="auto"/>
              <w:right w:val="nil"/>
            </w:tcBorders>
          </w:tcPr>
          <w:p w14:paraId="19BB64E9" w14:textId="1A8B4F15" w:rsidR="005337DF" w:rsidRPr="00F8283E" w:rsidRDefault="00BD7E90"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H</w:t>
            </w:r>
          </w:p>
        </w:tc>
        <w:tc>
          <w:tcPr>
            <w:tcW w:w="4009" w:type="pct"/>
            <w:tcBorders>
              <w:top w:val="nil"/>
              <w:left w:val="single" w:sz="8" w:space="0" w:color="auto"/>
              <w:bottom w:val="single" w:sz="4" w:space="0" w:color="auto"/>
              <w:right w:val="nil"/>
            </w:tcBorders>
            <w:noWrap/>
            <w:vAlign w:val="bottom"/>
            <w:hideMark/>
          </w:tcPr>
          <w:p w14:paraId="45F7193D" w14:textId="3CBC2A9C" w:rsidR="005337DF" w:rsidRPr="00F8283E" w:rsidRDefault="005337DF"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Small Urban SHLAA Sites</w:t>
            </w:r>
          </w:p>
        </w:tc>
        <w:tc>
          <w:tcPr>
            <w:tcW w:w="637" w:type="pct"/>
            <w:tcBorders>
              <w:top w:val="nil"/>
              <w:left w:val="single" w:sz="8" w:space="0" w:color="auto"/>
              <w:bottom w:val="single" w:sz="4" w:space="0" w:color="auto"/>
              <w:right w:val="single" w:sz="8" w:space="0" w:color="auto"/>
            </w:tcBorders>
            <w:noWrap/>
            <w:vAlign w:val="bottom"/>
            <w:hideMark/>
          </w:tcPr>
          <w:p w14:paraId="3390079C" w14:textId="77777777" w:rsidR="005337DF" w:rsidRPr="00F8283E" w:rsidRDefault="005337DF" w:rsidP="00F3259E">
            <w:pPr>
              <w:spacing w:after="0" w:line="240" w:lineRule="auto"/>
              <w:jc w:val="right"/>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0</w:t>
            </w:r>
          </w:p>
        </w:tc>
        <w:tc>
          <w:tcPr>
            <w:tcW w:w="123" w:type="pct"/>
            <w:tcBorders>
              <w:top w:val="nil"/>
              <w:left w:val="nil"/>
              <w:bottom w:val="nil"/>
              <w:right w:val="nil"/>
            </w:tcBorders>
            <w:noWrap/>
            <w:vAlign w:val="bottom"/>
            <w:hideMark/>
          </w:tcPr>
          <w:p w14:paraId="3780CC55" w14:textId="77777777" w:rsidR="005337DF" w:rsidRPr="00F3259E" w:rsidRDefault="005337DF" w:rsidP="00F3259E">
            <w:pPr>
              <w:spacing w:after="0" w:line="240" w:lineRule="auto"/>
              <w:jc w:val="right"/>
              <w:rPr>
                <w:rFonts w:ascii="Calibri" w:eastAsia="Times New Roman" w:hAnsi="Calibri" w:cs="Calibri"/>
                <w:color w:val="000000"/>
                <w:sz w:val="22"/>
                <w:lang w:eastAsia="en-GB"/>
              </w:rPr>
            </w:pPr>
          </w:p>
        </w:tc>
      </w:tr>
      <w:tr w:rsidR="005337DF" w:rsidRPr="00F3259E" w14:paraId="0F02CBC5" w14:textId="77777777" w:rsidTr="005337DF">
        <w:trPr>
          <w:trHeight w:val="300"/>
        </w:trPr>
        <w:tc>
          <w:tcPr>
            <w:tcW w:w="231" w:type="pct"/>
            <w:tcBorders>
              <w:top w:val="nil"/>
              <w:left w:val="single" w:sz="8" w:space="0" w:color="auto"/>
              <w:bottom w:val="single" w:sz="4" w:space="0" w:color="auto"/>
              <w:right w:val="nil"/>
            </w:tcBorders>
          </w:tcPr>
          <w:p w14:paraId="390EBB2C" w14:textId="47F84672" w:rsidR="005337DF" w:rsidRPr="00F8283E" w:rsidRDefault="00BD7E90"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I</w:t>
            </w:r>
          </w:p>
        </w:tc>
        <w:tc>
          <w:tcPr>
            <w:tcW w:w="4009" w:type="pct"/>
            <w:tcBorders>
              <w:top w:val="nil"/>
              <w:left w:val="single" w:sz="8" w:space="0" w:color="auto"/>
              <w:bottom w:val="single" w:sz="4" w:space="0" w:color="auto"/>
              <w:right w:val="nil"/>
            </w:tcBorders>
            <w:noWrap/>
            <w:vAlign w:val="bottom"/>
            <w:hideMark/>
          </w:tcPr>
          <w:p w14:paraId="1A85FBC8" w14:textId="451B0800" w:rsidR="005337DF" w:rsidRPr="00F8283E" w:rsidRDefault="005337DF"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Windfalls</w:t>
            </w:r>
          </w:p>
        </w:tc>
        <w:tc>
          <w:tcPr>
            <w:tcW w:w="637" w:type="pct"/>
            <w:tcBorders>
              <w:top w:val="nil"/>
              <w:left w:val="single" w:sz="8" w:space="0" w:color="auto"/>
              <w:bottom w:val="single" w:sz="4" w:space="0" w:color="auto"/>
              <w:right w:val="single" w:sz="8" w:space="0" w:color="auto"/>
            </w:tcBorders>
            <w:noWrap/>
            <w:vAlign w:val="bottom"/>
            <w:hideMark/>
          </w:tcPr>
          <w:p w14:paraId="2118F19D" w14:textId="77777777" w:rsidR="005337DF" w:rsidRPr="00F8283E" w:rsidRDefault="005337DF" w:rsidP="00F3259E">
            <w:pPr>
              <w:spacing w:after="0" w:line="240" w:lineRule="auto"/>
              <w:jc w:val="right"/>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505</w:t>
            </w:r>
          </w:p>
        </w:tc>
        <w:tc>
          <w:tcPr>
            <w:tcW w:w="123" w:type="pct"/>
            <w:tcBorders>
              <w:top w:val="nil"/>
              <w:left w:val="nil"/>
              <w:bottom w:val="nil"/>
              <w:right w:val="nil"/>
            </w:tcBorders>
            <w:noWrap/>
            <w:vAlign w:val="bottom"/>
            <w:hideMark/>
          </w:tcPr>
          <w:p w14:paraId="54F9D23A" w14:textId="77777777" w:rsidR="005337DF" w:rsidRPr="00F3259E" w:rsidRDefault="005337DF" w:rsidP="00F3259E">
            <w:pPr>
              <w:spacing w:after="0" w:line="240" w:lineRule="auto"/>
              <w:jc w:val="right"/>
              <w:rPr>
                <w:rFonts w:ascii="Calibri" w:eastAsia="Times New Roman" w:hAnsi="Calibri" w:cs="Calibri"/>
                <w:color w:val="000000"/>
                <w:sz w:val="22"/>
                <w:lang w:eastAsia="en-GB"/>
              </w:rPr>
            </w:pPr>
          </w:p>
        </w:tc>
      </w:tr>
      <w:tr w:rsidR="005337DF" w:rsidRPr="00F3259E" w14:paraId="464A1CC6" w14:textId="77777777" w:rsidTr="005337DF">
        <w:trPr>
          <w:trHeight w:val="300"/>
        </w:trPr>
        <w:tc>
          <w:tcPr>
            <w:tcW w:w="231" w:type="pct"/>
            <w:tcBorders>
              <w:top w:val="nil"/>
              <w:left w:val="single" w:sz="8" w:space="0" w:color="auto"/>
              <w:bottom w:val="single" w:sz="4" w:space="0" w:color="auto"/>
              <w:right w:val="nil"/>
            </w:tcBorders>
          </w:tcPr>
          <w:p w14:paraId="0374A96B" w14:textId="1AB368CB" w:rsidR="005337DF" w:rsidRPr="00F8283E" w:rsidRDefault="00BD7E90"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J</w:t>
            </w:r>
          </w:p>
        </w:tc>
        <w:tc>
          <w:tcPr>
            <w:tcW w:w="4009" w:type="pct"/>
            <w:tcBorders>
              <w:top w:val="nil"/>
              <w:left w:val="single" w:sz="8" w:space="0" w:color="auto"/>
              <w:bottom w:val="single" w:sz="4" w:space="0" w:color="auto"/>
              <w:right w:val="nil"/>
            </w:tcBorders>
            <w:noWrap/>
            <w:vAlign w:val="bottom"/>
            <w:hideMark/>
          </w:tcPr>
          <w:p w14:paraId="79501017" w14:textId="052F524B" w:rsidR="005337DF" w:rsidRPr="00F8283E" w:rsidRDefault="005337DF"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Consolidated employment land (Canalside and Employment areas tab)</w:t>
            </w:r>
          </w:p>
        </w:tc>
        <w:tc>
          <w:tcPr>
            <w:tcW w:w="637" w:type="pct"/>
            <w:tcBorders>
              <w:top w:val="nil"/>
              <w:left w:val="single" w:sz="8" w:space="0" w:color="auto"/>
              <w:bottom w:val="single" w:sz="4" w:space="0" w:color="auto"/>
              <w:right w:val="single" w:sz="8" w:space="0" w:color="auto"/>
            </w:tcBorders>
            <w:noWrap/>
            <w:vAlign w:val="bottom"/>
            <w:hideMark/>
          </w:tcPr>
          <w:p w14:paraId="0F864628" w14:textId="77777777" w:rsidR="005337DF" w:rsidRPr="00F8283E" w:rsidRDefault="005337DF" w:rsidP="00F3259E">
            <w:pPr>
              <w:spacing w:after="0" w:line="240" w:lineRule="auto"/>
              <w:jc w:val="right"/>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0</w:t>
            </w:r>
          </w:p>
        </w:tc>
        <w:tc>
          <w:tcPr>
            <w:tcW w:w="123" w:type="pct"/>
            <w:tcBorders>
              <w:top w:val="nil"/>
              <w:left w:val="nil"/>
              <w:bottom w:val="nil"/>
              <w:right w:val="nil"/>
            </w:tcBorders>
            <w:noWrap/>
            <w:vAlign w:val="bottom"/>
            <w:hideMark/>
          </w:tcPr>
          <w:p w14:paraId="2D3E337D" w14:textId="77777777" w:rsidR="005337DF" w:rsidRPr="00F3259E" w:rsidRDefault="005337DF" w:rsidP="00F3259E">
            <w:pPr>
              <w:spacing w:after="0" w:line="240" w:lineRule="auto"/>
              <w:jc w:val="right"/>
              <w:rPr>
                <w:rFonts w:ascii="Calibri" w:eastAsia="Times New Roman" w:hAnsi="Calibri" w:cs="Calibri"/>
                <w:color w:val="000000"/>
                <w:sz w:val="22"/>
                <w:lang w:eastAsia="en-GB"/>
              </w:rPr>
            </w:pPr>
          </w:p>
        </w:tc>
      </w:tr>
      <w:tr w:rsidR="005337DF" w:rsidRPr="00F3259E" w14:paraId="2A990288" w14:textId="77777777" w:rsidTr="005337DF">
        <w:trPr>
          <w:trHeight w:val="315"/>
        </w:trPr>
        <w:tc>
          <w:tcPr>
            <w:tcW w:w="231" w:type="pct"/>
            <w:tcBorders>
              <w:top w:val="nil"/>
              <w:left w:val="single" w:sz="8" w:space="0" w:color="auto"/>
              <w:bottom w:val="nil"/>
              <w:right w:val="nil"/>
            </w:tcBorders>
          </w:tcPr>
          <w:p w14:paraId="25D33063" w14:textId="6FC8045E" w:rsidR="005337DF" w:rsidRPr="00F8283E" w:rsidRDefault="00BD7E90"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K</w:t>
            </w:r>
          </w:p>
        </w:tc>
        <w:tc>
          <w:tcPr>
            <w:tcW w:w="4009" w:type="pct"/>
            <w:tcBorders>
              <w:top w:val="nil"/>
              <w:left w:val="single" w:sz="8" w:space="0" w:color="auto"/>
              <w:bottom w:val="nil"/>
              <w:right w:val="nil"/>
            </w:tcBorders>
            <w:noWrap/>
            <w:vAlign w:val="bottom"/>
            <w:hideMark/>
          </w:tcPr>
          <w:p w14:paraId="243EB405" w14:textId="2D941AC1" w:rsidR="005337DF" w:rsidRPr="00F8283E" w:rsidRDefault="005337DF"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Local Plan Allocations without permission</w:t>
            </w:r>
          </w:p>
        </w:tc>
        <w:tc>
          <w:tcPr>
            <w:tcW w:w="637" w:type="pct"/>
            <w:tcBorders>
              <w:top w:val="nil"/>
              <w:left w:val="single" w:sz="8" w:space="0" w:color="auto"/>
              <w:bottom w:val="nil"/>
              <w:right w:val="single" w:sz="8" w:space="0" w:color="auto"/>
            </w:tcBorders>
            <w:noWrap/>
            <w:vAlign w:val="bottom"/>
            <w:hideMark/>
          </w:tcPr>
          <w:p w14:paraId="148CE05D" w14:textId="0D08C25B" w:rsidR="005337DF" w:rsidRPr="00F8283E" w:rsidRDefault="00B84E42" w:rsidP="00F3259E">
            <w:pPr>
              <w:spacing w:after="0" w:line="240" w:lineRule="auto"/>
              <w:jc w:val="right"/>
              <w:rPr>
                <w:rFonts w:ascii="Calibri" w:eastAsia="Times New Roman" w:hAnsi="Calibri" w:cs="Calibri"/>
                <w:color w:val="000000"/>
                <w:szCs w:val="24"/>
                <w:lang w:eastAsia="en-GB"/>
              </w:rPr>
            </w:pPr>
            <w:r>
              <w:rPr>
                <w:rFonts w:ascii="Calibri" w:eastAsia="Times New Roman" w:hAnsi="Calibri" w:cs="Calibri"/>
                <w:color w:val="000000"/>
                <w:szCs w:val="24"/>
                <w:lang w:eastAsia="en-GB"/>
              </w:rPr>
              <w:t>272</w:t>
            </w:r>
          </w:p>
        </w:tc>
        <w:tc>
          <w:tcPr>
            <w:tcW w:w="123" w:type="pct"/>
            <w:tcBorders>
              <w:top w:val="nil"/>
              <w:left w:val="nil"/>
              <w:bottom w:val="nil"/>
              <w:right w:val="nil"/>
            </w:tcBorders>
            <w:noWrap/>
            <w:vAlign w:val="bottom"/>
            <w:hideMark/>
          </w:tcPr>
          <w:p w14:paraId="7B87FA44" w14:textId="77777777" w:rsidR="005337DF" w:rsidRPr="00F3259E" w:rsidRDefault="005337DF" w:rsidP="00F3259E">
            <w:pPr>
              <w:spacing w:after="0" w:line="240" w:lineRule="auto"/>
              <w:jc w:val="right"/>
              <w:rPr>
                <w:rFonts w:ascii="Calibri" w:eastAsia="Times New Roman" w:hAnsi="Calibri" w:cs="Calibri"/>
                <w:color w:val="000000"/>
                <w:sz w:val="22"/>
                <w:lang w:eastAsia="en-GB"/>
              </w:rPr>
            </w:pPr>
          </w:p>
        </w:tc>
      </w:tr>
      <w:tr w:rsidR="005337DF" w:rsidRPr="00F3259E" w14:paraId="6DDF71AA" w14:textId="77777777" w:rsidTr="005337DF">
        <w:trPr>
          <w:trHeight w:val="315"/>
        </w:trPr>
        <w:tc>
          <w:tcPr>
            <w:tcW w:w="231" w:type="pct"/>
            <w:tcBorders>
              <w:top w:val="single" w:sz="8" w:space="0" w:color="auto"/>
              <w:left w:val="single" w:sz="8" w:space="0" w:color="auto"/>
              <w:bottom w:val="single" w:sz="8" w:space="0" w:color="auto"/>
              <w:right w:val="nil"/>
            </w:tcBorders>
          </w:tcPr>
          <w:p w14:paraId="7A3ED87E" w14:textId="675C7512" w:rsidR="005337DF" w:rsidRPr="00F8283E" w:rsidRDefault="00BD7E90"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L</w:t>
            </w:r>
          </w:p>
        </w:tc>
        <w:tc>
          <w:tcPr>
            <w:tcW w:w="4009" w:type="pct"/>
            <w:tcBorders>
              <w:top w:val="single" w:sz="8" w:space="0" w:color="auto"/>
              <w:left w:val="single" w:sz="8" w:space="0" w:color="auto"/>
              <w:bottom w:val="single" w:sz="8" w:space="0" w:color="auto"/>
              <w:right w:val="nil"/>
            </w:tcBorders>
            <w:noWrap/>
            <w:vAlign w:val="bottom"/>
            <w:hideMark/>
          </w:tcPr>
          <w:p w14:paraId="4B02F0C0" w14:textId="06CAE859" w:rsidR="005337DF" w:rsidRPr="00F8283E" w:rsidRDefault="005337DF"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Total 5 YEAR SUPPLY (1/4/24 to 31/3/29)</w:t>
            </w:r>
            <w:r w:rsidR="00BD7E90" w:rsidRPr="00F8283E">
              <w:rPr>
                <w:rFonts w:ascii="Calibri" w:eastAsia="Times New Roman" w:hAnsi="Calibri" w:cs="Calibri"/>
                <w:color w:val="000000"/>
                <w:szCs w:val="24"/>
                <w:lang w:eastAsia="en-GB"/>
              </w:rPr>
              <w:t xml:space="preserve"> (E + F + G+ H + I + J + </w:t>
            </w:r>
            <w:proofErr w:type="gramStart"/>
            <w:r w:rsidR="00BD7E90" w:rsidRPr="00F8283E">
              <w:rPr>
                <w:rFonts w:ascii="Calibri" w:eastAsia="Times New Roman" w:hAnsi="Calibri" w:cs="Calibri"/>
                <w:color w:val="000000"/>
                <w:szCs w:val="24"/>
                <w:lang w:eastAsia="en-GB"/>
              </w:rPr>
              <w:t>K )</w:t>
            </w:r>
            <w:proofErr w:type="gramEnd"/>
          </w:p>
        </w:tc>
        <w:tc>
          <w:tcPr>
            <w:tcW w:w="637" w:type="pct"/>
            <w:tcBorders>
              <w:top w:val="single" w:sz="8" w:space="0" w:color="auto"/>
              <w:left w:val="single" w:sz="8" w:space="0" w:color="auto"/>
              <w:bottom w:val="single" w:sz="8" w:space="0" w:color="auto"/>
              <w:right w:val="single" w:sz="8" w:space="0" w:color="auto"/>
            </w:tcBorders>
            <w:noWrap/>
            <w:vAlign w:val="bottom"/>
            <w:hideMark/>
          </w:tcPr>
          <w:p w14:paraId="4ADACB51" w14:textId="62FEA8CD" w:rsidR="005337DF" w:rsidRPr="00F8283E" w:rsidRDefault="00B84E42" w:rsidP="00F3259E">
            <w:pPr>
              <w:spacing w:after="0" w:line="240" w:lineRule="auto"/>
              <w:jc w:val="right"/>
              <w:rPr>
                <w:rFonts w:ascii="Calibri" w:eastAsia="Times New Roman" w:hAnsi="Calibri" w:cs="Calibri"/>
                <w:color w:val="000000"/>
                <w:szCs w:val="24"/>
                <w:lang w:eastAsia="en-GB"/>
              </w:rPr>
            </w:pPr>
            <w:r>
              <w:rPr>
                <w:rFonts w:ascii="Calibri" w:eastAsia="Times New Roman" w:hAnsi="Calibri" w:cs="Calibri"/>
                <w:color w:val="000000"/>
                <w:szCs w:val="24"/>
                <w:lang w:eastAsia="en-GB"/>
              </w:rPr>
              <w:t>4080</w:t>
            </w:r>
          </w:p>
        </w:tc>
        <w:tc>
          <w:tcPr>
            <w:tcW w:w="123" w:type="pct"/>
            <w:tcBorders>
              <w:top w:val="nil"/>
              <w:left w:val="nil"/>
              <w:bottom w:val="nil"/>
              <w:right w:val="nil"/>
            </w:tcBorders>
            <w:noWrap/>
            <w:vAlign w:val="bottom"/>
            <w:hideMark/>
          </w:tcPr>
          <w:p w14:paraId="46B6CCE6" w14:textId="77777777" w:rsidR="005337DF" w:rsidRPr="00F3259E" w:rsidRDefault="005337DF" w:rsidP="00F3259E">
            <w:pPr>
              <w:spacing w:after="0" w:line="240" w:lineRule="auto"/>
              <w:jc w:val="right"/>
              <w:rPr>
                <w:rFonts w:ascii="Calibri" w:eastAsia="Times New Roman" w:hAnsi="Calibri" w:cs="Calibri"/>
                <w:color w:val="000000"/>
                <w:sz w:val="22"/>
                <w:lang w:eastAsia="en-GB"/>
              </w:rPr>
            </w:pPr>
          </w:p>
        </w:tc>
      </w:tr>
      <w:tr w:rsidR="005337DF" w:rsidRPr="00F3259E" w14:paraId="77F69F13" w14:textId="77777777" w:rsidTr="005337DF">
        <w:trPr>
          <w:trHeight w:val="915"/>
        </w:trPr>
        <w:tc>
          <w:tcPr>
            <w:tcW w:w="231" w:type="pct"/>
            <w:tcBorders>
              <w:top w:val="nil"/>
              <w:left w:val="single" w:sz="8" w:space="0" w:color="auto"/>
              <w:bottom w:val="nil"/>
              <w:right w:val="nil"/>
            </w:tcBorders>
          </w:tcPr>
          <w:p w14:paraId="385330B5" w14:textId="5E774DDA" w:rsidR="005337DF" w:rsidRPr="00F8283E" w:rsidRDefault="00F5542D"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M</w:t>
            </w:r>
          </w:p>
        </w:tc>
        <w:tc>
          <w:tcPr>
            <w:tcW w:w="4009" w:type="pct"/>
            <w:tcBorders>
              <w:top w:val="nil"/>
              <w:left w:val="single" w:sz="8" w:space="0" w:color="auto"/>
              <w:bottom w:val="nil"/>
              <w:right w:val="nil"/>
            </w:tcBorders>
            <w:vAlign w:val="bottom"/>
            <w:hideMark/>
          </w:tcPr>
          <w:p w14:paraId="32C26997" w14:textId="77777777" w:rsidR="00F8283E" w:rsidRDefault="005337DF"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Contribution towards meeting Coventry unmet need (i.e. 5,976 dwellings over the period 2017/18 to 2028/29 as a proportion of the 13,176 dwellings total for those years = 45.36% of the total supply)</w:t>
            </w:r>
          </w:p>
          <w:p w14:paraId="301865FE" w14:textId="6759A769" w:rsidR="005337DF" w:rsidRPr="00F8283E" w:rsidRDefault="00F5542D"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(L x 0.4536</w:t>
            </w:r>
            <w:r w:rsidR="00221273" w:rsidRPr="00F8283E">
              <w:rPr>
                <w:rFonts w:ascii="Calibri" w:eastAsia="Times New Roman" w:hAnsi="Calibri" w:cs="Calibri"/>
                <w:color w:val="000000"/>
                <w:szCs w:val="24"/>
                <w:lang w:eastAsia="en-GB"/>
              </w:rPr>
              <w:t>)</w:t>
            </w:r>
          </w:p>
        </w:tc>
        <w:tc>
          <w:tcPr>
            <w:tcW w:w="637" w:type="pct"/>
            <w:tcBorders>
              <w:top w:val="nil"/>
              <w:left w:val="single" w:sz="8" w:space="0" w:color="auto"/>
              <w:bottom w:val="nil"/>
              <w:right w:val="single" w:sz="8" w:space="0" w:color="auto"/>
            </w:tcBorders>
            <w:noWrap/>
            <w:vAlign w:val="bottom"/>
            <w:hideMark/>
          </w:tcPr>
          <w:p w14:paraId="330D9605" w14:textId="0E42E54D" w:rsidR="005337DF" w:rsidRPr="00F8283E" w:rsidRDefault="00B84E42" w:rsidP="00F3259E">
            <w:pPr>
              <w:spacing w:after="0" w:line="240" w:lineRule="auto"/>
              <w:jc w:val="right"/>
              <w:rPr>
                <w:rFonts w:ascii="Calibri" w:eastAsia="Times New Roman" w:hAnsi="Calibri" w:cs="Calibri"/>
                <w:color w:val="000000"/>
                <w:szCs w:val="24"/>
                <w:lang w:eastAsia="en-GB"/>
              </w:rPr>
            </w:pPr>
            <w:r>
              <w:rPr>
                <w:rFonts w:ascii="Calibri" w:eastAsia="Times New Roman" w:hAnsi="Calibri" w:cs="Calibri"/>
                <w:color w:val="000000"/>
                <w:szCs w:val="24"/>
                <w:lang w:eastAsia="en-GB"/>
              </w:rPr>
              <w:t>1851</w:t>
            </w:r>
          </w:p>
        </w:tc>
        <w:tc>
          <w:tcPr>
            <w:tcW w:w="123" w:type="pct"/>
            <w:tcBorders>
              <w:top w:val="nil"/>
              <w:left w:val="nil"/>
              <w:bottom w:val="nil"/>
              <w:right w:val="nil"/>
            </w:tcBorders>
            <w:noWrap/>
            <w:vAlign w:val="bottom"/>
            <w:hideMark/>
          </w:tcPr>
          <w:p w14:paraId="2B410201" w14:textId="77777777" w:rsidR="005337DF" w:rsidRPr="00F3259E" w:rsidRDefault="005337DF" w:rsidP="00F3259E">
            <w:pPr>
              <w:spacing w:after="0" w:line="240" w:lineRule="auto"/>
              <w:jc w:val="right"/>
              <w:rPr>
                <w:rFonts w:ascii="Calibri" w:eastAsia="Times New Roman" w:hAnsi="Calibri" w:cs="Calibri"/>
                <w:color w:val="000000"/>
                <w:sz w:val="22"/>
                <w:lang w:eastAsia="en-GB"/>
              </w:rPr>
            </w:pPr>
          </w:p>
        </w:tc>
      </w:tr>
      <w:tr w:rsidR="005337DF" w:rsidRPr="00F3259E" w14:paraId="36BCB393" w14:textId="77777777" w:rsidTr="005337DF">
        <w:trPr>
          <w:trHeight w:val="915"/>
        </w:trPr>
        <w:tc>
          <w:tcPr>
            <w:tcW w:w="231" w:type="pct"/>
            <w:tcBorders>
              <w:top w:val="single" w:sz="8" w:space="0" w:color="auto"/>
              <w:left w:val="single" w:sz="8" w:space="0" w:color="auto"/>
              <w:bottom w:val="single" w:sz="8" w:space="0" w:color="auto"/>
              <w:right w:val="nil"/>
            </w:tcBorders>
          </w:tcPr>
          <w:p w14:paraId="5BC4595D" w14:textId="536E9C50" w:rsidR="005337DF" w:rsidRPr="00E00CDA" w:rsidRDefault="00221273" w:rsidP="00F3259E">
            <w:pPr>
              <w:spacing w:after="0" w:line="240" w:lineRule="auto"/>
              <w:rPr>
                <w:rFonts w:ascii="Calibri" w:eastAsia="Times New Roman" w:hAnsi="Calibri" w:cs="Calibri"/>
                <w:color w:val="000000"/>
                <w:szCs w:val="24"/>
                <w:lang w:eastAsia="en-GB"/>
              </w:rPr>
            </w:pPr>
            <w:r w:rsidRPr="00E00CDA">
              <w:rPr>
                <w:rFonts w:ascii="Calibri" w:eastAsia="Times New Roman" w:hAnsi="Calibri" w:cs="Calibri"/>
                <w:color w:val="000000"/>
                <w:szCs w:val="24"/>
                <w:lang w:eastAsia="en-GB"/>
              </w:rPr>
              <w:t>N</w:t>
            </w:r>
          </w:p>
        </w:tc>
        <w:tc>
          <w:tcPr>
            <w:tcW w:w="4009" w:type="pct"/>
            <w:tcBorders>
              <w:top w:val="single" w:sz="8" w:space="0" w:color="auto"/>
              <w:left w:val="single" w:sz="8" w:space="0" w:color="auto"/>
              <w:bottom w:val="single" w:sz="8" w:space="0" w:color="auto"/>
              <w:right w:val="nil"/>
            </w:tcBorders>
            <w:vAlign w:val="bottom"/>
            <w:hideMark/>
          </w:tcPr>
          <w:p w14:paraId="4B419D61" w14:textId="0DC2A54B" w:rsidR="005337DF" w:rsidRPr="00F8283E" w:rsidRDefault="005337DF" w:rsidP="00F3259E">
            <w:pPr>
              <w:spacing w:after="0" w:line="240" w:lineRule="auto"/>
              <w:rPr>
                <w:rFonts w:ascii="Calibri" w:eastAsia="Times New Roman" w:hAnsi="Calibri" w:cs="Calibri"/>
                <w:b/>
                <w:bCs/>
                <w:color w:val="000000"/>
                <w:szCs w:val="24"/>
                <w:lang w:eastAsia="en-GB"/>
              </w:rPr>
            </w:pPr>
            <w:r w:rsidRPr="00F8283E">
              <w:rPr>
                <w:rFonts w:ascii="Calibri" w:eastAsia="Times New Roman" w:hAnsi="Calibri" w:cs="Calibri"/>
                <w:b/>
                <w:bCs/>
                <w:color w:val="000000"/>
                <w:szCs w:val="24"/>
                <w:lang w:eastAsia="en-GB"/>
              </w:rPr>
              <w:t>Total WDC Five Year Supply (1/4/24 to 31/3/29) (i.e. 7,200 dwellings over the period 2017/2018 to 2028/29 as a proportion of the 13,176 dwellings total = 54.64% of the total supply)</w:t>
            </w:r>
            <w:r w:rsidR="00221273" w:rsidRPr="00F8283E">
              <w:rPr>
                <w:rFonts w:ascii="Calibri" w:eastAsia="Times New Roman" w:hAnsi="Calibri" w:cs="Calibri"/>
                <w:b/>
                <w:bCs/>
                <w:color w:val="000000"/>
                <w:szCs w:val="24"/>
                <w:lang w:eastAsia="en-GB"/>
              </w:rPr>
              <w:t xml:space="preserve"> </w:t>
            </w:r>
            <w:r w:rsidR="00221273" w:rsidRPr="00F8283E">
              <w:rPr>
                <w:rFonts w:ascii="Calibri" w:eastAsia="Times New Roman" w:hAnsi="Calibri" w:cs="Calibri"/>
                <w:color w:val="000000"/>
                <w:szCs w:val="24"/>
                <w:lang w:eastAsia="en-GB"/>
              </w:rPr>
              <w:t>(L x 0.5464)</w:t>
            </w:r>
          </w:p>
        </w:tc>
        <w:tc>
          <w:tcPr>
            <w:tcW w:w="637" w:type="pct"/>
            <w:tcBorders>
              <w:top w:val="single" w:sz="8" w:space="0" w:color="auto"/>
              <w:left w:val="single" w:sz="8" w:space="0" w:color="auto"/>
              <w:bottom w:val="single" w:sz="8" w:space="0" w:color="auto"/>
              <w:right w:val="single" w:sz="8" w:space="0" w:color="auto"/>
            </w:tcBorders>
            <w:noWrap/>
            <w:vAlign w:val="bottom"/>
            <w:hideMark/>
          </w:tcPr>
          <w:p w14:paraId="2F3F6749" w14:textId="5D88F833" w:rsidR="005337DF" w:rsidRPr="00F8283E" w:rsidRDefault="00B84E42" w:rsidP="00F3259E">
            <w:pPr>
              <w:spacing w:after="0" w:line="240" w:lineRule="auto"/>
              <w:jc w:val="right"/>
              <w:rPr>
                <w:rFonts w:ascii="Calibri" w:eastAsia="Times New Roman" w:hAnsi="Calibri" w:cs="Calibri"/>
                <w:b/>
                <w:bCs/>
                <w:color w:val="000000"/>
                <w:szCs w:val="24"/>
                <w:lang w:eastAsia="en-GB"/>
              </w:rPr>
            </w:pPr>
            <w:r>
              <w:rPr>
                <w:rFonts w:ascii="Calibri" w:eastAsia="Times New Roman" w:hAnsi="Calibri" w:cs="Calibri"/>
                <w:b/>
                <w:bCs/>
                <w:color w:val="000000"/>
                <w:szCs w:val="24"/>
                <w:lang w:eastAsia="en-GB"/>
              </w:rPr>
              <w:t>2230</w:t>
            </w:r>
          </w:p>
        </w:tc>
        <w:tc>
          <w:tcPr>
            <w:tcW w:w="123" w:type="pct"/>
            <w:tcBorders>
              <w:top w:val="nil"/>
              <w:left w:val="nil"/>
              <w:bottom w:val="nil"/>
              <w:right w:val="nil"/>
            </w:tcBorders>
            <w:noWrap/>
            <w:vAlign w:val="bottom"/>
            <w:hideMark/>
          </w:tcPr>
          <w:p w14:paraId="2E6A1537" w14:textId="77777777" w:rsidR="005337DF" w:rsidRPr="00F3259E" w:rsidRDefault="005337DF" w:rsidP="00F3259E">
            <w:pPr>
              <w:spacing w:after="0" w:line="240" w:lineRule="auto"/>
              <w:jc w:val="right"/>
              <w:rPr>
                <w:rFonts w:ascii="Calibri" w:eastAsia="Times New Roman" w:hAnsi="Calibri" w:cs="Calibri"/>
                <w:b/>
                <w:bCs/>
                <w:color w:val="000000"/>
                <w:sz w:val="22"/>
                <w:lang w:eastAsia="en-GB"/>
              </w:rPr>
            </w:pPr>
          </w:p>
        </w:tc>
      </w:tr>
      <w:tr w:rsidR="005337DF" w:rsidRPr="00F3259E" w14:paraId="2208DAB4" w14:textId="77777777" w:rsidTr="005337DF">
        <w:trPr>
          <w:trHeight w:val="315"/>
        </w:trPr>
        <w:tc>
          <w:tcPr>
            <w:tcW w:w="231" w:type="pct"/>
            <w:tcBorders>
              <w:top w:val="nil"/>
              <w:left w:val="single" w:sz="8" w:space="0" w:color="auto"/>
              <w:bottom w:val="single" w:sz="8" w:space="0" w:color="auto"/>
              <w:right w:val="nil"/>
            </w:tcBorders>
          </w:tcPr>
          <w:p w14:paraId="58E502AA" w14:textId="22D32750" w:rsidR="005337DF" w:rsidRPr="00F8283E" w:rsidRDefault="00F8283E" w:rsidP="00F3259E">
            <w:pPr>
              <w:spacing w:after="0" w:line="240" w:lineRule="auto"/>
              <w:rPr>
                <w:rFonts w:ascii="Calibri" w:eastAsia="Times New Roman" w:hAnsi="Calibri" w:cs="Calibri"/>
                <w:color w:val="000000"/>
                <w:szCs w:val="24"/>
                <w:lang w:eastAsia="en-GB"/>
              </w:rPr>
            </w:pPr>
            <w:r>
              <w:rPr>
                <w:rFonts w:ascii="Calibri" w:eastAsia="Times New Roman" w:hAnsi="Calibri" w:cs="Calibri"/>
                <w:color w:val="000000"/>
                <w:szCs w:val="24"/>
                <w:lang w:eastAsia="en-GB"/>
              </w:rPr>
              <w:t>O</w:t>
            </w:r>
          </w:p>
        </w:tc>
        <w:tc>
          <w:tcPr>
            <w:tcW w:w="4009" w:type="pct"/>
            <w:tcBorders>
              <w:top w:val="nil"/>
              <w:left w:val="single" w:sz="8" w:space="0" w:color="auto"/>
              <w:bottom w:val="single" w:sz="8" w:space="0" w:color="auto"/>
              <w:right w:val="nil"/>
            </w:tcBorders>
            <w:noWrap/>
            <w:vAlign w:val="bottom"/>
            <w:hideMark/>
          </w:tcPr>
          <w:p w14:paraId="0041EB05" w14:textId="508763F9" w:rsidR="005337DF" w:rsidRPr="00F8283E" w:rsidRDefault="005337DF" w:rsidP="00F3259E">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Surplus</w:t>
            </w:r>
            <w:r w:rsidR="00432882">
              <w:rPr>
                <w:rFonts w:ascii="Calibri" w:eastAsia="Times New Roman" w:hAnsi="Calibri" w:cs="Calibri"/>
                <w:color w:val="000000"/>
                <w:szCs w:val="24"/>
                <w:lang w:eastAsia="en-GB"/>
              </w:rPr>
              <w:t>/Deficit</w:t>
            </w:r>
          </w:p>
        </w:tc>
        <w:tc>
          <w:tcPr>
            <w:tcW w:w="637" w:type="pct"/>
            <w:tcBorders>
              <w:top w:val="nil"/>
              <w:left w:val="single" w:sz="8" w:space="0" w:color="auto"/>
              <w:bottom w:val="single" w:sz="8" w:space="0" w:color="auto"/>
              <w:right w:val="single" w:sz="8" w:space="0" w:color="auto"/>
            </w:tcBorders>
            <w:noWrap/>
            <w:vAlign w:val="bottom"/>
            <w:hideMark/>
          </w:tcPr>
          <w:p w14:paraId="7BE1BF68" w14:textId="2DFEB411" w:rsidR="005337DF" w:rsidRPr="00F8283E" w:rsidRDefault="005337DF" w:rsidP="00F3259E">
            <w:pPr>
              <w:spacing w:after="0" w:line="240" w:lineRule="auto"/>
              <w:jc w:val="right"/>
              <w:rPr>
                <w:rFonts w:ascii="Calibri" w:eastAsia="Times New Roman" w:hAnsi="Calibri" w:cs="Calibri"/>
                <w:color w:val="000000"/>
                <w:szCs w:val="24"/>
                <w:lang w:eastAsia="en-GB"/>
              </w:rPr>
            </w:pPr>
            <w:r w:rsidRPr="00F8283E">
              <w:rPr>
                <w:rFonts w:ascii="Calibri" w:eastAsia="Times New Roman" w:hAnsi="Calibri" w:cs="Calibri"/>
                <w:color w:val="000000"/>
                <w:szCs w:val="24"/>
                <w:lang w:eastAsia="en-GB"/>
              </w:rPr>
              <w:t>-</w:t>
            </w:r>
            <w:r w:rsidR="00B84E42">
              <w:rPr>
                <w:rFonts w:ascii="Calibri" w:eastAsia="Times New Roman" w:hAnsi="Calibri" w:cs="Calibri"/>
                <w:color w:val="000000"/>
                <w:szCs w:val="24"/>
                <w:lang w:eastAsia="en-GB"/>
              </w:rPr>
              <w:t>3466</w:t>
            </w:r>
          </w:p>
        </w:tc>
        <w:tc>
          <w:tcPr>
            <w:tcW w:w="123" w:type="pct"/>
            <w:tcBorders>
              <w:top w:val="nil"/>
              <w:left w:val="nil"/>
              <w:bottom w:val="nil"/>
              <w:right w:val="nil"/>
            </w:tcBorders>
            <w:noWrap/>
            <w:vAlign w:val="bottom"/>
            <w:hideMark/>
          </w:tcPr>
          <w:p w14:paraId="1E78F983" w14:textId="77777777" w:rsidR="005337DF" w:rsidRPr="00F3259E" w:rsidRDefault="005337DF" w:rsidP="00F3259E">
            <w:pPr>
              <w:spacing w:after="0" w:line="240" w:lineRule="auto"/>
              <w:jc w:val="right"/>
              <w:rPr>
                <w:rFonts w:ascii="Calibri" w:eastAsia="Times New Roman" w:hAnsi="Calibri" w:cs="Calibri"/>
                <w:color w:val="000000"/>
                <w:sz w:val="22"/>
                <w:lang w:eastAsia="en-GB"/>
              </w:rPr>
            </w:pPr>
          </w:p>
        </w:tc>
      </w:tr>
      <w:tr w:rsidR="005337DF" w:rsidRPr="00F3259E" w14:paraId="61042C36" w14:textId="77777777" w:rsidTr="005337DF">
        <w:trPr>
          <w:trHeight w:val="315"/>
        </w:trPr>
        <w:tc>
          <w:tcPr>
            <w:tcW w:w="231" w:type="pct"/>
            <w:tcBorders>
              <w:top w:val="nil"/>
              <w:left w:val="single" w:sz="8" w:space="0" w:color="auto"/>
              <w:bottom w:val="single" w:sz="8" w:space="0" w:color="auto"/>
              <w:right w:val="nil"/>
            </w:tcBorders>
          </w:tcPr>
          <w:p w14:paraId="07147C74" w14:textId="77777777" w:rsidR="005337DF" w:rsidRPr="00F8283E" w:rsidRDefault="005337DF" w:rsidP="00F3259E">
            <w:pPr>
              <w:spacing w:after="0" w:line="240" w:lineRule="auto"/>
              <w:rPr>
                <w:rFonts w:ascii="Calibri" w:eastAsia="Times New Roman" w:hAnsi="Calibri" w:cs="Calibri"/>
                <w:color w:val="000000"/>
                <w:szCs w:val="24"/>
                <w:lang w:eastAsia="en-GB"/>
              </w:rPr>
            </w:pPr>
          </w:p>
        </w:tc>
        <w:tc>
          <w:tcPr>
            <w:tcW w:w="4009" w:type="pct"/>
            <w:tcBorders>
              <w:top w:val="nil"/>
              <w:left w:val="single" w:sz="8" w:space="0" w:color="auto"/>
              <w:bottom w:val="single" w:sz="8" w:space="0" w:color="auto"/>
              <w:right w:val="nil"/>
            </w:tcBorders>
            <w:noWrap/>
            <w:vAlign w:val="bottom"/>
          </w:tcPr>
          <w:p w14:paraId="68C5B67A" w14:textId="64A41DB4" w:rsidR="005337DF" w:rsidRPr="00F8283E" w:rsidRDefault="005337DF" w:rsidP="00F3259E">
            <w:pPr>
              <w:spacing w:after="0" w:line="240" w:lineRule="auto"/>
              <w:rPr>
                <w:rFonts w:ascii="Calibri" w:eastAsia="Times New Roman" w:hAnsi="Calibri" w:cs="Calibri"/>
                <w:color w:val="000000"/>
                <w:szCs w:val="24"/>
                <w:lang w:eastAsia="en-GB"/>
              </w:rPr>
            </w:pPr>
          </w:p>
        </w:tc>
        <w:tc>
          <w:tcPr>
            <w:tcW w:w="637" w:type="pct"/>
            <w:tcBorders>
              <w:top w:val="nil"/>
              <w:left w:val="single" w:sz="8" w:space="0" w:color="auto"/>
              <w:bottom w:val="single" w:sz="8" w:space="0" w:color="auto"/>
              <w:right w:val="single" w:sz="8" w:space="0" w:color="auto"/>
            </w:tcBorders>
            <w:noWrap/>
            <w:vAlign w:val="bottom"/>
          </w:tcPr>
          <w:p w14:paraId="03F64B07" w14:textId="77777777" w:rsidR="005337DF" w:rsidRPr="00F8283E" w:rsidRDefault="005337DF" w:rsidP="00F3259E">
            <w:pPr>
              <w:spacing w:after="0" w:line="240" w:lineRule="auto"/>
              <w:jc w:val="right"/>
              <w:rPr>
                <w:rFonts w:ascii="Calibri" w:eastAsia="Times New Roman" w:hAnsi="Calibri" w:cs="Calibri"/>
                <w:color w:val="000000"/>
                <w:szCs w:val="24"/>
                <w:lang w:eastAsia="en-GB"/>
              </w:rPr>
            </w:pPr>
          </w:p>
        </w:tc>
        <w:tc>
          <w:tcPr>
            <w:tcW w:w="123" w:type="pct"/>
            <w:tcBorders>
              <w:top w:val="nil"/>
              <w:left w:val="nil"/>
              <w:bottom w:val="nil"/>
              <w:right w:val="nil"/>
            </w:tcBorders>
            <w:noWrap/>
            <w:vAlign w:val="bottom"/>
          </w:tcPr>
          <w:p w14:paraId="1AA903D1" w14:textId="77777777" w:rsidR="005337DF" w:rsidRPr="00F3259E" w:rsidRDefault="005337DF" w:rsidP="00F3259E">
            <w:pPr>
              <w:spacing w:after="0" w:line="240" w:lineRule="auto"/>
              <w:jc w:val="right"/>
              <w:rPr>
                <w:rFonts w:ascii="Calibri" w:eastAsia="Times New Roman" w:hAnsi="Calibri" w:cs="Calibri"/>
                <w:color w:val="000000"/>
                <w:sz w:val="22"/>
                <w:lang w:eastAsia="en-GB"/>
              </w:rPr>
            </w:pPr>
          </w:p>
        </w:tc>
      </w:tr>
      <w:tr w:rsidR="005337DF" w:rsidRPr="00F3259E" w14:paraId="2475D1A2" w14:textId="77777777" w:rsidTr="005337DF">
        <w:trPr>
          <w:trHeight w:val="315"/>
        </w:trPr>
        <w:tc>
          <w:tcPr>
            <w:tcW w:w="231" w:type="pct"/>
            <w:tcBorders>
              <w:top w:val="nil"/>
              <w:left w:val="single" w:sz="8" w:space="0" w:color="auto"/>
              <w:bottom w:val="single" w:sz="8" w:space="0" w:color="auto"/>
              <w:right w:val="nil"/>
            </w:tcBorders>
          </w:tcPr>
          <w:p w14:paraId="1E336330" w14:textId="3E7EC24F" w:rsidR="005337DF" w:rsidRPr="00E00CDA" w:rsidRDefault="00E00CDA" w:rsidP="00FB0438">
            <w:pPr>
              <w:spacing w:after="0" w:line="240" w:lineRule="auto"/>
              <w:rPr>
                <w:rFonts w:ascii="Calibri" w:eastAsia="Times New Roman" w:hAnsi="Calibri" w:cs="Calibri"/>
                <w:color w:val="000000"/>
                <w:szCs w:val="24"/>
                <w:lang w:eastAsia="en-GB"/>
              </w:rPr>
            </w:pPr>
            <w:r w:rsidRPr="00E00CDA">
              <w:rPr>
                <w:rFonts w:ascii="Calibri" w:eastAsia="Times New Roman" w:hAnsi="Calibri" w:cs="Calibri"/>
                <w:color w:val="000000"/>
                <w:szCs w:val="24"/>
                <w:lang w:eastAsia="en-GB"/>
              </w:rPr>
              <w:t>P</w:t>
            </w:r>
          </w:p>
        </w:tc>
        <w:tc>
          <w:tcPr>
            <w:tcW w:w="4009" w:type="pct"/>
            <w:tcBorders>
              <w:top w:val="nil"/>
              <w:left w:val="single" w:sz="8" w:space="0" w:color="auto"/>
              <w:bottom w:val="single" w:sz="8" w:space="0" w:color="auto"/>
              <w:right w:val="nil"/>
            </w:tcBorders>
            <w:noWrap/>
            <w:vAlign w:val="bottom"/>
          </w:tcPr>
          <w:p w14:paraId="5B0E72A5" w14:textId="5C2D5F80" w:rsidR="005337DF" w:rsidRPr="00F8283E" w:rsidRDefault="005337DF" w:rsidP="00FB0438">
            <w:pPr>
              <w:spacing w:after="0" w:line="240" w:lineRule="auto"/>
              <w:rPr>
                <w:rFonts w:ascii="Calibri" w:eastAsia="Times New Roman" w:hAnsi="Calibri" w:cs="Calibri"/>
                <w:color w:val="000000"/>
                <w:szCs w:val="24"/>
                <w:lang w:eastAsia="en-GB"/>
              </w:rPr>
            </w:pPr>
            <w:r w:rsidRPr="00F8283E">
              <w:rPr>
                <w:rFonts w:ascii="Calibri" w:eastAsia="Times New Roman" w:hAnsi="Calibri" w:cs="Calibri"/>
                <w:b/>
                <w:bCs/>
                <w:color w:val="000000"/>
                <w:szCs w:val="24"/>
                <w:lang w:eastAsia="en-GB"/>
              </w:rPr>
              <w:t>Number of years' supply</w:t>
            </w:r>
            <w:r w:rsidR="00F8283E">
              <w:rPr>
                <w:rFonts w:ascii="Calibri" w:eastAsia="Times New Roman" w:hAnsi="Calibri" w:cs="Calibri"/>
                <w:b/>
                <w:bCs/>
                <w:color w:val="000000"/>
                <w:szCs w:val="24"/>
                <w:lang w:eastAsia="en-GB"/>
              </w:rPr>
              <w:t xml:space="preserve"> </w:t>
            </w:r>
            <w:r w:rsidR="00F8283E" w:rsidRPr="00F8283E">
              <w:rPr>
                <w:rFonts w:ascii="Calibri" w:eastAsia="Times New Roman" w:hAnsi="Calibri" w:cs="Calibri"/>
                <w:color w:val="000000"/>
                <w:szCs w:val="24"/>
                <w:lang w:eastAsia="en-GB"/>
              </w:rPr>
              <w:t>(</w:t>
            </w:r>
            <w:r w:rsidR="00F8283E">
              <w:rPr>
                <w:rFonts w:ascii="Calibri" w:eastAsia="Times New Roman" w:hAnsi="Calibri" w:cs="Calibri"/>
                <w:color w:val="000000"/>
                <w:szCs w:val="24"/>
                <w:lang w:eastAsia="en-GB"/>
              </w:rPr>
              <w:t>N / D)</w:t>
            </w:r>
          </w:p>
        </w:tc>
        <w:tc>
          <w:tcPr>
            <w:tcW w:w="637" w:type="pct"/>
            <w:tcBorders>
              <w:top w:val="nil"/>
              <w:left w:val="single" w:sz="8" w:space="0" w:color="auto"/>
              <w:bottom w:val="single" w:sz="8" w:space="0" w:color="auto"/>
              <w:right w:val="single" w:sz="8" w:space="0" w:color="auto"/>
            </w:tcBorders>
            <w:noWrap/>
            <w:vAlign w:val="bottom"/>
          </w:tcPr>
          <w:p w14:paraId="5451099E" w14:textId="71D92863" w:rsidR="005337DF" w:rsidRPr="00F8283E" w:rsidRDefault="00B84E42" w:rsidP="00FB0438">
            <w:pPr>
              <w:spacing w:after="0" w:line="240" w:lineRule="auto"/>
              <w:jc w:val="right"/>
              <w:rPr>
                <w:rFonts w:ascii="Calibri" w:eastAsia="Times New Roman" w:hAnsi="Calibri" w:cs="Calibri"/>
                <w:color w:val="000000"/>
                <w:szCs w:val="24"/>
                <w:lang w:eastAsia="en-GB"/>
              </w:rPr>
            </w:pPr>
            <w:r>
              <w:rPr>
                <w:rFonts w:ascii="Calibri" w:eastAsia="Times New Roman" w:hAnsi="Calibri" w:cs="Calibri"/>
                <w:b/>
                <w:bCs/>
                <w:color w:val="000000"/>
                <w:szCs w:val="24"/>
                <w:lang w:eastAsia="en-GB"/>
              </w:rPr>
              <w:t>1.96</w:t>
            </w:r>
            <w:r w:rsidR="005337DF" w:rsidRPr="00F8283E">
              <w:rPr>
                <w:rFonts w:ascii="Calibri" w:eastAsia="Times New Roman" w:hAnsi="Calibri" w:cs="Calibri"/>
                <w:b/>
                <w:bCs/>
                <w:color w:val="000000"/>
                <w:szCs w:val="24"/>
                <w:lang w:eastAsia="en-GB"/>
              </w:rPr>
              <w:t xml:space="preserve"> years</w:t>
            </w:r>
          </w:p>
        </w:tc>
        <w:tc>
          <w:tcPr>
            <w:tcW w:w="123" w:type="pct"/>
            <w:tcBorders>
              <w:top w:val="nil"/>
              <w:left w:val="nil"/>
              <w:bottom w:val="nil"/>
              <w:right w:val="nil"/>
            </w:tcBorders>
            <w:noWrap/>
            <w:vAlign w:val="bottom"/>
          </w:tcPr>
          <w:p w14:paraId="43EADEE5" w14:textId="473FA574" w:rsidR="005337DF" w:rsidRPr="00F3259E" w:rsidRDefault="005337DF" w:rsidP="00FB0438">
            <w:pPr>
              <w:spacing w:after="0" w:line="240" w:lineRule="auto"/>
              <w:jc w:val="right"/>
              <w:rPr>
                <w:rFonts w:ascii="Calibri" w:eastAsia="Times New Roman" w:hAnsi="Calibri" w:cs="Calibri"/>
                <w:color w:val="000000"/>
                <w:sz w:val="22"/>
                <w:lang w:eastAsia="en-GB"/>
              </w:rPr>
            </w:pPr>
          </w:p>
        </w:tc>
      </w:tr>
      <w:tr w:rsidR="005337DF" w:rsidRPr="00F3259E" w14:paraId="14E8E17F" w14:textId="77777777" w:rsidTr="005337DF">
        <w:trPr>
          <w:trHeight w:val="300"/>
        </w:trPr>
        <w:tc>
          <w:tcPr>
            <w:tcW w:w="231" w:type="pct"/>
            <w:tcBorders>
              <w:top w:val="nil"/>
              <w:left w:val="nil"/>
              <w:bottom w:val="nil"/>
              <w:right w:val="nil"/>
            </w:tcBorders>
          </w:tcPr>
          <w:p w14:paraId="68191888" w14:textId="77777777" w:rsidR="005337DF" w:rsidRPr="00F3259E" w:rsidRDefault="005337DF" w:rsidP="00FB0438">
            <w:pPr>
              <w:spacing w:after="0" w:line="240" w:lineRule="auto"/>
              <w:rPr>
                <w:rFonts w:ascii="Times New Roman" w:eastAsia="Times New Roman" w:hAnsi="Times New Roman" w:cs="Times New Roman"/>
                <w:sz w:val="20"/>
                <w:szCs w:val="20"/>
                <w:lang w:eastAsia="en-GB"/>
              </w:rPr>
            </w:pPr>
          </w:p>
        </w:tc>
        <w:tc>
          <w:tcPr>
            <w:tcW w:w="4009" w:type="pct"/>
            <w:tcBorders>
              <w:top w:val="nil"/>
              <w:left w:val="nil"/>
              <w:bottom w:val="nil"/>
              <w:right w:val="nil"/>
            </w:tcBorders>
            <w:noWrap/>
            <w:vAlign w:val="bottom"/>
            <w:hideMark/>
          </w:tcPr>
          <w:p w14:paraId="48BAE323" w14:textId="3470D7F1" w:rsidR="005337DF" w:rsidRPr="00F3259E" w:rsidRDefault="005337DF" w:rsidP="00FB0438">
            <w:pPr>
              <w:spacing w:after="0" w:line="240" w:lineRule="auto"/>
              <w:rPr>
                <w:rFonts w:ascii="Times New Roman" w:eastAsia="Times New Roman" w:hAnsi="Times New Roman" w:cs="Times New Roman"/>
                <w:sz w:val="20"/>
                <w:szCs w:val="20"/>
                <w:lang w:eastAsia="en-GB"/>
              </w:rPr>
            </w:pPr>
          </w:p>
        </w:tc>
        <w:tc>
          <w:tcPr>
            <w:tcW w:w="637" w:type="pct"/>
            <w:tcBorders>
              <w:top w:val="nil"/>
              <w:left w:val="nil"/>
              <w:bottom w:val="nil"/>
              <w:right w:val="nil"/>
            </w:tcBorders>
            <w:noWrap/>
            <w:vAlign w:val="bottom"/>
            <w:hideMark/>
          </w:tcPr>
          <w:p w14:paraId="44A894F3" w14:textId="77777777" w:rsidR="005337DF" w:rsidRPr="00F3259E" w:rsidRDefault="005337DF" w:rsidP="00FB0438">
            <w:pPr>
              <w:spacing w:after="0" w:line="240" w:lineRule="auto"/>
              <w:rPr>
                <w:rFonts w:ascii="Times New Roman" w:eastAsia="Times New Roman" w:hAnsi="Times New Roman" w:cs="Times New Roman"/>
                <w:sz w:val="20"/>
                <w:szCs w:val="20"/>
                <w:lang w:eastAsia="en-GB"/>
              </w:rPr>
            </w:pPr>
          </w:p>
        </w:tc>
        <w:tc>
          <w:tcPr>
            <w:tcW w:w="123" w:type="pct"/>
            <w:tcBorders>
              <w:top w:val="nil"/>
              <w:left w:val="nil"/>
              <w:bottom w:val="nil"/>
              <w:right w:val="nil"/>
            </w:tcBorders>
            <w:noWrap/>
            <w:vAlign w:val="bottom"/>
            <w:hideMark/>
          </w:tcPr>
          <w:p w14:paraId="126702F3" w14:textId="77777777" w:rsidR="005337DF" w:rsidRPr="00F3259E" w:rsidRDefault="005337DF" w:rsidP="00FB0438">
            <w:pPr>
              <w:spacing w:after="0" w:line="240" w:lineRule="auto"/>
              <w:rPr>
                <w:rFonts w:ascii="Times New Roman" w:eastAsia="Times New Roman" w:hAnsi="Times New Roman" w:cs="Times New Roman"/>
                <w:sz w:val="20"/>
                <w:szCs w:val="20"/>
                <w:lang w:eastAsia="en-GB"/>
              </w:rPr>
            </w:pPr>
          </w:p>
        </w:tc>
      </w:tr>
      <w:tr w:rsidR="005337DF" w:rsidRPr="00F3259E" w14:paraId="2F88783C" w14:textId="77777777" w:rsidTr="005337DF">
        <w:trPr>
          <w:trHeight w:val="315"/>
        </w:trPr>
        <w:tc>
          <w:tcPr>
            <w:tcW w:w="231" w:type="pct"/>
            <w:tcBorders>
              <w:top w:val="nil"/>
              <w:left w:val="nil"/>
              <w:bottom w:val="nil"/>
              <w:right w:val="nil"/>
            </w:tcBorders>
          </w:tcPr>
          <w:p w14:paraId="1341BC6D" w14:textId="77777777" w:rsidR="005337DF" w:rsidRPr="00F3259E" w:rsidRDefault="005337DF" w:rsidP="00FB0438">
            <w:pPr>
              <w:spacing w:after="0" w:line="240" w:lineRule="auto"/>
              <w:rPr>
                <w:rFonts w:ascii="Times New Roman" w:eastAsia="Times New Roman" w:hAnsi="Times New Roman" w:cs="Times New Roman"/>
                <w:sz w:val="20"/>
                <w:szCs w:val="20"/>
                <w:lang w:eastAsia="en-GB"/>
              </w:rPr>
            </w:pPr>
          </w:p>
        </w:tc>
        <w:tc>
          <w:tcPr>
            <w:tcW w:w="4009" w:type="pct"/>
            <w:tcBorders>
              <w:top w:val="nil"/>
              <w:left w:val="nil"/>
              <w:bottom w:val="nil"/>
              <w:right w:val="nil"/>
            </w:tcBorders>
            <w:noWrap/>
            <w:vAlign w:val="bottom"/>
            <w:hideMark/>
          </w:tcPr>
          <w:p w14:paraId="4F7CADF2" w14:textId="77777777" w:rsidR="005337DF" w:rsidRDefault="005337DF" w:rsidP="00FB0438">
            <w:pPr>
              <w:spacing w:after="0" w:line="240" w:lineRule="auto"/>
              <w:rPr>
                <w:rFonts w:ascii="Times New Roman" w:eastAsia="Times New Roman" w:hAnsi="Times New Roman" w:cs="Times New Roman"/>
                <w:sz w:val="20"/>
                <w:szCs w:val="20"/>
                <w:lang w:eastAsia="en-GB"/>
              </w:rPr>
            </w:pPr>
          </w:p>
          <w:p w14:paraId="4F4DABE1" w14:textId="77777777" w:rsidR="00AD3B0A" w:rsidRDefault="00AD3B0A" w:rsidP="00FB0438">
            <w:pPr>
              <w:spacing w:after="0" w:line="240" w:lineRule="auto"/>
              <w:rPr>
                <w:rFonts w:ascii="Times New Roman" w:eastAsia="Times New Roman" w:hAnsi="Times New Roman" w:cs="Times New Roman"/>
                <w:sz w:val="20"/>
                <w:szCs w:val="20"/>
                <w:lang w:eastAsia="en-GB"/>
              </w:rPr>
            </w:pPr>
          </w:p>
          <w:p w14:paraId="13863E2F" w14:textId="77777777" w:rsidR="00AD3B0A" w:rsidRDefault="00AD3B0A" w:rsidP="00FB0438">
            <w:pPr>
              <w:spacing w:after="0" w:line="240" w:lineRule="auto"/>
              <w:rPr>
                <w:rFonts w:ascii="Times New Roman" w:eastAsia="Times New Roman" w:hAnsi="Times New Roman" w:cs="Times New Roman"/>
                <w:sz w:val="20"/>
                <w:szCs w:val="20"/>
                <w:lang w:eastAsia="en-GB"/>
              </w:rPr>
            </w:pPr>
          </w:p>
          <w:p w14:paraId="13079761" w14:textId="77777777" w:rsidR="00AD3B0A" w:rsidRDefault="00AD3B0A" w:rsidP="00FB0438">
            <w:pPr>
              <w:spacing w:after="0" w:line="240" w:lineRule="auto"/>
              <w:rPr>
                <w:rFonts w:ascii="Times New Roman" w:eastAsia="Times New Roman" w:hAnsi="Times New Roman" w:cs="Times New Roman"/>
                <w:sz w:val="20"/>
                <w:szCs w:val="20"/>
                <w:lang w:eastAsia="en-GB"/>
              </w:rPr>
            </w:pPr>
          </w:p>
          <w:p w14:paraId="33F552B0" w14:textId="77777777" w:rsidR="00AD3B0A" w:rsidRDefault="00AD3B0A" w:rsidP="00FB0438">
            <w:pPr>
              <w:spacing w:after="0" w:line="240" w:lineRule="auto"/>
              <w:rPr>
                <w:rFonts w:ascii="Times New Roman" w:eastAsia="Times New Roman" w:hAnsi="Times New Roman" w:cs="Times New Roman"/>
                <w:sz w:val="20"/>
                <w:szCs w:val="20"/>
                <w:lang w:eastAsia="en-GB"/>
              </w:rPr>
            </w:pPr>
          </w:p>
          <w:p w14:paraId="5FD45450" w14:textId="77777777" w:rsidR="00AD3B0A" w:rsidRDefault="00AD3B0A" w:rsidP="00FB0438">
            <w:pPr>
              <w:spacing w:after="0" w:line="240" w:lineRule="auto"/>
              <w:rPr>
                <w:rFonts w:ascii="Times New Roman" w:eastAsia="Times New Roman" w:hAnsi="Times New Roman" w:cs="Times New Roman"/>
                <w:sz w:val="20"/>
                <w:szCs w:val="20"/>
                <w:lang w:eastAsia="en-GB"/>
              </w:rPr>
            </w:pPr>
          </w:p>
          <w:p w14:paraId="4EF25EBE" w14:textId="77777777" w:rsidR="00AD3B0A" w:rsidRDefault="00AD3B0A" w:rsidP="00FB0438">
            <w:pPr>
              <w:spacing w:after="0" w:line="240" w:lineRule="auto"/>
              <w:rPr>
                <w:rFonts w:ascii="Times New Roman" w:eastAsia="Times New Roman" w:hAnsi="Times New Roman" w:cs="Times New Roman"/>
                <w:sz w:val="20"/>
                <w:szCs w:val="20"/>
                <w:lang w:eastAsia="en-GB"/>
              </w:rPr>
            </w:pPr>
          </w:p>
          <w:p w14:paraId="2CA65E93" w14:textId="77777777" w:rsidR="00AD3B0A" w:rsidRDefault="00AD3B0A" w:rsidP="00FB0438">
            <w:pPr>
              <w:spacing w:after="0" w:line="240" w:lineRule="auto"/>
              <w:rPr>
                <w:rFonts w:ascii="Times New Roman" w:eastAsia="Times New Roman" w:hAnsi="Times New Roman" w:cs="Times New Roman"/>
                <w:sz w:val="20"/>
                <w:szCs w:val="20"/>
                <w:lang w:eastAsia="en-GB"/>
              </w:rPr>
            </w:pPr>
          </w:p>
          <w:p w14:paraId="25F480CE" w14:textId="77777777" w:rsidR="00AD3B0A" w:rsidRDefault="00AD3B0A" w:rsidP="00FB0438">
            <w:pPr>
              <w:spacing w:after="0" w:line="240" w:lineRule="auto"/>
              <w:rPr>
                <w:rFonts w:ascii="Times New Roman" w:eastAsia="Times New Roman" w:hAnsi="Times New Roman" w:cs="Times New Roman"/>
                <w:sz w:val="20"/>
                <w:szCs w:val="20"/>
                <w:lang w:eastAsia="en-GB"/>
              </w:rPr>
            </w:pPr>
          </w:p>
          <w:p w14:paraId="7FE89CE7" w14:textId="77777777" w:rsidR="00A66740" w:rsidRDefault="00A66740" w:rsidP="00FB0438">
            <w:pPr>
              <w:spacing w:after="0" w:line="240" w:lineRule="auto"/>
              <w:rPr>
                <w:rFonts w:ascii="Times New Roman" w:eastAsia="Times New Roman" w:hAnsi="Times New Roman" w:cs="Times New Roman"/>
                <w:sz w:val="20"/>
                <w:szCs w:val="20"/>
                <w:lang w:eastAsia="en-GB"/>
              </w:rPr>
            </w:pPr>
          </w:p>
          <w:p w14:paraId="428CC7AA" w14:textId="77777777" w:rsidR="00AD3B0A" w:rsidRDefault="00AD3B0A" w:rsidP="00FB0438">
            <w:pPr>
              <w:spacing w:after="0" w:line="240" w:lineRule="auto"/>
              <w:rPr>
                <w:rFonts w:ascii="Times New Roman" w:eastAsia="Times New Roman" w:hAnsi="Times New Roman" w:cs="Times New Roman"/>
                <w:sz w:val="20"/>
                <w:szCs w:val="20"/>
                <w:lang w:eastAsia="en-GB"/>
              </w:rPr>
            </w:pPr>
          </w:p>
          <w:p w14:paraId="4FBB71ED" w14:textId="77777777" w:rsidR="00AD3B0A" w:rsidRDefault="00AD3B0A" w:rsidP="00FB0438">
            <w:pPr>
              <w:spacing w:after="0" w:line="240" w:lineRule="auto"/>
              <w:rPr>
                <w:rFonts w:ascii="Times New Roman" w:eastAsia="Times New Roman" w:hAnsi="Times New Roman" w:cs="Times New Roman"/>
                <w:sz w:val="20"/>
                <w:szCs w:val="20"/>
                <w:lang w:eastAsia="en-GB"/>
              </w:rPr>
            </w:pPr>
          </w:p>
          <w:p w14:paraId="451F87F9" w14:textId="25CF0D66" w:rsidR="00AD3B0A" w:rsidRPr="00F3259E" w:rsidRDefault="00AD3B0A" w:rsidP="00FB0438">
            <w:pPr>
              <w:spacing w:after="0" w:line="240" w:lineRule="auto"/>
              <w:rPr>
                <w:rFonts w:ascii="Times New Roman" w:eastAsia="Times New Roman" w:hAnsi="Times New Roman" w:cs="Times New Roman"/>
                <w:sz w:val="20"/>
                <w:szCs w:val="20"/>
                <w:lang w:eastAsia="en-GB"/>
              </w:rPr>
            </w:pPr>
          </w:p>
        </w:tc>
        <w:tc>
          <w:tcPr>
            <w:tcW w:w="637" w:type="pct"/>
            <w:tcBorders>
              <w:top w:val="nil"/>
              <w:left w:val="nil"/>
              <w:bottom w:val="nil"/>
              <w:right w:val="nil"/>
            </w:tcBorders>
            <w:noWrap/>
            <w:vAlign w:val="bottom"/>
            <w:hideMark/>
          </w:tcPr>
          <w:p w14:paraId="65B03631" w14:textId="77777777" w:rsidR="005337DF" w:rsidRPr="00F3259E" w:rsidRDefault="005337DF" w:rsidP="00FB0438">
            <w:pPr>
              <w:spacing w:after="0" w:line="240" w:lineRule="auto"/>
              <w:rPr>
                <w:rFonts w:ascii="Times New Roman" w:eastAsia="Times New Roman" w:hAnsi="Times New Roman" w:cs="Times New Roman"/>
                <w:sz w:val="20"/>
                <w:szCs w:val="20"/>
                <w:lang w:eastAsia="en-GB"/>
              </w:rPr>
            </w:pPr>
          </w:p>
        </w:tc>
        <w:tc>
          <w:tcPr>
            <w:tcW w:w="123" w:type="pct"/>
            <w:tcBorders>
              <w:top w:val="nil"/>
              <w:left w:val="nil"/>
              <w:bottom w:val="nil"/>
              <w:right w:val="nil"/>
            </w:tcBorders>
            <w:noWrap/>
            <w:vAlign w:val="bottom"/>
            <w:hideMark/>
          </w:tcPr>
          <w:p w14:paraId="341BF4BB" w14:textId="77777777" w:rsidR="005337DF" w:rsidRPr="00F3259E" w:rsidRDefault="005337DF" w:rsidP="00FB0438">
            <w:pPr>
              <w:spacing w:after="0" w:line="240" w:lineRule="auto"/>
              <w:rPr>
                <w:rFonts w:ascii="Times New Roman" w:eastAsia="Times New Roman" w:hAnsi="Times New Roman" w:cs="Times New Roman"/>
                <w:sz w:val="20"/>
                <w:szCs w:val="20"/>
                <w:lang w:eastAsia="en-GB"/>
              </w:rPr>
            </w:pPr>
          </w:p>
        </w:tc>
      </w:tr>
    </w:tbl>
    <w:p w14:paraId="4FF496D7" w14:textId="7EA231CB" w:rsidR="00436CCF" w:rsidRPr="007C4B08" w:rsidRDefault="00436CCF" w:rsidP="0054403D">
      <w:pPr>
        <w:rPr>
          <w:szCs w:val="24"/>
        </w:rPr>
      </w:pPr>
      <w:r w:rsidRPr="007C4B08">
        <w:rPr>
          <w:szCs w:val="24"/>
        </w:rPr>
        <w:lastRenderedPageBreak/>
        <w:t>The Warwick District Local Plan makes provision for a minimum of 16,776 new homes between 2011 and 2029.  In total the Local Plan allocates land for 10,659 homes (policy DS10).  The remainder of the new housing is made up from windfall and other suitable sites (policy DS7).</w:t>
      </w:r>
    </w:p>
    <w:p w14:paraId="754B86BA" w14:textId="50CAE87A" w:rsidR="00436CCF" w:rsidRPr="007C4B08" w:rsidRDefault="00436CCF" w:rsidP="0054403D">
      <w:pPr>
        <w:rPr>
          <w:szCs w:val="24"/>
        </w:rPr>
      </w:pPr>
      <w:r w:rsidRPr="007C4B08">
        <w:rPr>
          <w:szCs w:val="24"/>
        </w:rPr>
        <w:t xml:space="preserve">As well as being required to meet the </w:t>
      </w:r>
      <w:proofErr w:type="gramStart"/>
      <w:r w:rsidRPr="007C4B08">
        <w:rPr>
          <w:szCs w:val="24"/>
        </w:rPr>
        <w:t>District’s</w:t>
      </w:r>
      <w:proofErr w:type="gramEnd"/>
      <w:r w:rsidRPr="007C4B08">
        <w:rPr>
          <w:szCs w:val="24"/>
        </w:rPr>
        <w:t xml:space="preserve"> housing needs over the whole plan period, the Council is also expected to ensure that sites come forward in a timely manner </w:t>
      </w:r>
      <w:r w:rsidR="00D63482" w:rsidRPr="007C4B08">
        <w:rPr>
          <w:szCs w:val="24"/>
        </w:rPr>
        <w:t>and to maintain a</w:t>
      </w:r>
      <w:r w:rsidRPr="007C4B08">
        <w:rPr>
          <w:szCs w:val="24"/>
        </w:rPr>
        <w:t xml:space="preserve"> housing land supply of at least five years.  This requires the Council to make a calculation of what is required based upon the total requirement over </w:t>
      </w:r>
      <w:r w:rsidR="00D63482" w:rsidRPr="007C4B08">
        <w:rPr>
          <w:szCs w:val="24"/>
        </w:rPr>
        <w:t>the next five years</w:t>
      </w:r>
      <w:r w:rsidRPr="007C4B08">
        <w:rPr>
          <w:szCs w:val="24"/>
        </w:rPr>
        <w:t xml:space="preserve"> </w:t>
      </w:r>
      <w:r w:rsidR="00D63482" w:rsidRPr="007C4B08">
        <w:rPr>
          <w:szCs w:val="24"/>
        </w:rPr>
        <w:t xml:space="preserve">and then to </w:t>
      </w:r>
      <w:r w:rsidRPr="007C4B08">
        <w:rPr>
          <w:szCs w:val="24"/>
        </w:rPr>
        <w:t xml:space="preserve">assess how many homes are likely to be completed over </w:t>
      </w:r>
      <w:r w:rsidR="00D63482" w:rsidRPr="007C4B08">
        <w:rPr>
          <w:szCs w:val="24"/>
        </w:rPr>
        <w:t>that timeframe</w:t>
      </w:r>
      <w:r w:rsidRPr="007C4B08">
        <w:rPr>
          <w:szCs w:val="24"/>
        </w:rPr>
        <w:t xml:space="preserve"> (in this case from 1st April </w:t>
      </w:r>
      <w:r w:rsidR="00DC7FC2" w:rsidRPr="007C4B08">
        <w:rPr>
          <w:szCs w:val="24"/>
        </w:rPr>
        <w:t>202</w:t>
      </w:r>
      <w:r w:rsidR="00C73B55">
        <w:rPr>
          <w:szCs w:val="24"/>
        </w:rPr>
        <w:t>5</w:t>
      </w:r>
      <w:r w:rsidR="00DC7FC2" w:rsidRPr="007C4B08">
        <w:rPr>
          <w:szCs w:val="24"/>
        </w:rPr>
        <w:t xml:space="preserve"> </w:t>
      </w:r>
      <w:r w:rsidRPr="007C4B08">
        <w:rPr>
          <w:szCs w:val="24"/>
        </w:rPr>
        <w:t xml:space="preserve">to 31st March </w:t>
      </w:r>
      <w:r w:rsidR="00DC7FC2" w:rsidRPr="007C4B08">
        <w:rPr>
          <w:szCs w:val="24"/>
        </w:rPr>
        <w:t>20</w:t>
      </w:r>
      <w:r w:rsidR="00C73B55">
        <w:rPr>
          <w:szCs w:val="24"/>
        </w:rPr>
        <w:t>30</w:t>
      </w:r>
      <w:r w:rsidRPr="007C4B08">
        <w:rPr>
          <w:szCs w:val="24"/>
        </w:rPr>
        <w:t>) based on sites with existing planning permission, allocated sites in the Local Plan that are expected to come forward, and other factors.</w:t>
      </w:r>
    </w:p>
    <w:p w14:paraId="64301657" w14:textId="6C08E15E" w:rsidR="003E6693" w:rsidRPr="007C4B08" w:rsidRDefault="00C27445" w:rsidP="0054403D">
      <w:pPr>
        <w:rPr>
          <w:szCs w:val="24"/>
        </w:rPr>
      </w:pPr>
      <w:r w:rsidRPr="007C4B08">
        <w:rPr>
          <w:szCs w:val="24"/>
        </w:rPr>
        <w:t xml:space="preserve">The methodology used to </w:t>
      </w:r>
      <w:r w:rsidR="00697027" w:rsidRPr="007C4B08">
        <w:rPr>
          <w:szCs w:val="24"/>
        </w:rPr>
        <w:t>calculate</w:t>
      </w:r>
      <w:r w:rsidRPr="007C4B08">
        <w:rPr>
          <w:szCs w:val="24"/>
        </w:rPr>
        <w:t xml:space="preserve"> the 202</w:t>
      </w:r>
      <w:r w:rsidR="00C73B55">
        <w:rPr>
          <w:szCs w:val="24"/>
        </w:rPr>
        <w:t>5</w:t>
      </w:r>
      <w:r w:rsidRPr="007C4B08">
        <w:rPr>
          <w:szCs w:val="24"/>
        </w:rPr>
        <w:t xml:space="preserve"> Five Year Housing Land Supply calculation reflects the Inspector’s conclusions set out in the appeal decision relating to appeal reference APP/T3725/W/3319752 </w:t>
      </w:r>
      <w:r w:rsidR="00697027" w:rsidRPr="007C4B08">
        <w:rPr>
          <w:szCs w:val="24"/>
        </w:rPr>
        <w:t xml:space="preserve">/planning application ref: W/22/1877 </w:t>
      </w:r>
      <w:r w:rsidRPr="007C4B08">
        <w:rPr>
          <w:szCs w:val="24"/>
        </w:rPr>
        <w:t>– land at Warwickshire Police Headquarters, Woodcote Lane, Leek Wootton</w:t>
      </w:r>
      <w:r w:rsidR="00962F42" w:rsidRPr="007C4B08">
        <w:rPr>
          <w:szCs w:val="24"/>
        </w:rPr>
        <w:t xml:space="preserve"> -</w:t>
      </w:r>
      <w:r w:rsidRPr="007C4B08">
        <w:rPr>
          <w:szCs w:val="24"/>
        </w:rPr>
        <w:t xml:space="preserve"> dated 24</w:t>
      </w:r>
      <w:r w:rsidRPr="007C4B08">
        <w:rPr>
          <w:szCs w:val="24"/>
          <w:vertAlign w:val="superscript"/>
        </w:rPr>
        <w:t>th</w:t>
      </w:r>
      <w:r w:rsidRPr="007C4B08">
        <w:rPr>
          <w:szCs w:val="24"/>
        </w:rPr>
        <w:t xml:space="preserve"> May 2024.</w:t>
      </w:r>
      <w:r w:rsidR="00233758" w:rsidRPr="007C4B08">
        <w:rPr>
          <w:szCs w:val="24"/>
        </w:rPr>
        <w:t xml:space="preserve"> The Inspector concluded that a 45% ‘discount’ to the supply figure needed to be applied to account for the Coventry unmet need requirement set out in the Local Plan</w:t>
      </w:r>
      <w:r w:rsidR="00962F42" w:rsidRPr="007C4B08">
        <w:rPr>
          <w:szCs w:val="24"/>
        </w:rPr>
        <w:t>, and to ensure that the spatial strategy of the plan is reflected in the supply figure</w:t>
      </w:r>
      <w:r w:rsidR="00233758" w:rsidRPr="007C4B08">
        <w:rPr>
          <w:szCs w:val="24"/>
        </w:rPr>
        <w:t>.</w:t>
      </w:r>
    </w:p>
    <w:p w14:paraId="6D7C787E" w14:textId="6C987CBC" w:rsidR="00436CCF" w:rsidRPr="007C4B08" w:rsidRDefault="00AD3B0A" w:rsidP="0054403D">
      <w:pPr>
        <w:rPr>
          <w:szCs w:val="24"/>
        </w:rPr>
      </w:pPr>
      <w:r w:rsidRPr="007C4B08">
        <w:rPr>
          <w:szCs w:val="24"/>
        </w:rPr>
        <w:t xml:space="preserve">In applying the methodology, </w:t>
      </w:r>
      <w:r w:rsidR="00E00CDA" w:rsidRPr="007C4B08">
        <w:rPr>
          <w:szCs w:val="24"/>
        </w:rPr>
        <w:t>this returns a figure of</w:t>
      </w:r>
      <w:r w:rsidR="00A66740" w:rsidRPr="007C4B08">
        <w:rPr>
          <w:szCs w:val="24"/>
        </w:rPr>
        <w:t xml:space="preserve"> </w:t>
      </w:r>
      <w:r w:rsidR="00C73B55">
        <w:rPr>
          <w:szCs w:val="24"/>
        </w:rPr>
        <w:t>1.96</w:t>
      </w:r>
      <w:r w:rsidR="00A66740" w:rsidRPr="007C4B08">
        <w:rPr>
          <w:szCs w:val="24"/>
        </w:rPr>
        <w:t xml:space="preserve"> </w:t>
      </w:r>
      <w:r w:rsidR="00436CCF" w:rsidRPr="007C4B08">
        <w:rPr>
          <w:szCs w:val="24"/>
        </w:rPr>
        <w:t>years</w:t>
      </w:r>
      <w:r w:rsidR="00E00CDA" w:rsidRPr="007C4B08">
        <w:rPr>
          <w:szCs w:val="24"/>
        </w:rPr>
        <w:t>’</w:t>
      </w:r>
      <w:r w:rsidR="00436CCF" w:rsidRPr="007C4B08">
        <w:rPr>
          <w:szCs w:val="24"/>
        </w:rPr>
        <w:t xml:space="preserve"> supply of housing land</w:t>
      </w:r>
      <w:r w:rsidR="00D253AC" w:rsidRPr="007C4B08">
        <w:rPr>
          <w:szCs w:val="24"/>
        </w:rPr>
        <w:t>.</w:t>
      </w:r>
    </w:p>
    <w:p w14:paraId="5B275B67" w14:textId="77777777" w:rsidR="00535ED0" w:rsidRPr="007C4B08" w:rsidRDefault="00535ED0" w:rsidP="0054403D">
      <w:pPr>
        <w:pStyle w:val="Heading3"/>
      </w:pPr>
      <w:r w:rsidRPr="007C4B08">
        <w:t xml:space="preserve">Notes on the </w:t>
      </w:r>
      <w:proofErr w:type="gramStart"/>
      <w:r w:rsidRPr="007C4B08">
        <w:t xml:space="preserve">5 </w:t>
      </w:r>
      <w:r w:rsidR="00ED22BD" w:rsidRPr="007C4B08">
        <w:t>y</w:t>
      </w:r>
      <w:r w:rsidRPr="007C4B08">
        <w:t>ear</w:t>
      </w:r>
      <w:proofErr w:type="gramEnd"/>
      <w:r w:rsidRPr="007C4B08">
        <w:t xml:space="preserve"> </w:t>
      </w:r>
      <w:r w:rsidR="00ED22BD" w:rsidRPr="007C4B08">
        <w:t>r</w:t>
      </w:r>
      <w:r w:rsidRPr="007C4B08">
        <w:t>equirement</w:t>
      </w:r>
    </w:p>
    <w:p w14:paraId="0FEA7256" w14:textId="6038C9D6" w:rsidR="00535ED0" w:rsidRPr="007C4B08" w:rsidRDefault="00C271A3" w:rsidP="00AA28C2">
      <w:pPr>
        <w:pStyle w:val="ListParagraph"/>
        <w:numPr>
          <w:ilvl w:val="0"/>
          <w:numId w:val="17"/>
        </w:numPr>
        <w:ind w:left="284" w:hanging="284"/>
        <w:rPr>
          <w:szCs w:val="24"/>
        </w:rPr>
      </w:pPr>
      <w:r w:rsidRPr="007C4B08">
        <w:rPr>
          <w:b/>
          <w:szCs w:val="24"/>
        </w:rPr>
        <w:t>Current requirement:</w:t>
      </w:r>
      <w:r w:rsidRPr="007C4B08">
        <w:rPr>
          <w:bCs/>
          <w:szCs w:val="24"/>
        </w:rPr>
        <w:t xml:space="preserve"> </w:t>
      </w:r>
      <w:r w:rsidR="008B538B" w:rsidRPr="007C4B08">
        <w:rPr>
          <w:bCs/>
          <w:szCs w:val="24"/>
        </w:rPr>
        <w:t>For the 202</w:t>
      </w:r>
      <w:r w:rsidR="00C73B55">
        <w:rPr>
          <w:bCs/>
          <w:szCs w:val="24"/>
        </w:rPr>
        <w:t>5</w:t>
      </w:r>
      <w:r w:rsidR="008B538B" w:rsidRPr="007C4B08">
        <w:rPr>
          <w:bCs/>
          <w:szCs w:val="24"/>
        </w:rPr>
        <w:t xml:space="preserve"> calculation the housing requirement figure </w:t>
      </w:r>
      <w:r w:rsidR="00962F42" w:rsidRPr="007C4B08">
        <w:rPr>
          <w:bCs/>
          <w:szCs w:val="24"/>
        </w:rPr>
        <w:t>is based on</w:t>
      </w:r>
      <w:r w:rsidR="008B538B" w:rsidRPr="007C4B08">
        <w:rPr>
          <w:bCs/>
          <w:szCs w:val="24"/>
        </w:rPr>
        <w:t xml:space="preserve"> the National Planning Policy Framework (NPPF) and associated national planning practice guidance (NPPG).</w:t>
      </w:r>
      <w:r w:rsidR="008B538B" w:rsidRPr="007C4B08">
        <w:rPr>
          <w:szCs w:val="24"/>
        </w:rPr>
        <w:t xml:space="preserve"> </w:t>
      </w:r>
      <w:r w:rsidR="00AE6E58" w:rsidRPr="007C4B08">
        <w:rPr>
          <w:szCs w:val="24"/>
        </w:rPr>
        <w:t>Para. 7</w:t>
      </w:r>
      <w:r w:rsidR="00D4777D" w:rsidRPr="007C4B08">
        <w:rPr>
          <w:szCs w:val="24"/>
        </w:rPr>
        <w:t>8</w:t>
      </w:r>
      <w:r w:rsidR="00AE6E58" w:rsidRPr="007C4B08">
        <w:rPr>
          <w:szCs w:val="24"/>
        </w:rPr>
        <w:t xml:space="preserve"> of the </w:t>
      </w:r>
      <w:r w:rsidR="003D663E" w:rsidRPr="007C4B08">
        <w:rPr>
          <w:szCs w:val="24"/>
        </w:rPr>
        <w:t xml:space="preserve">NPPF </w:t>
      </w:r>
      <w:r w:rsidR="00AE6E58" w:rsidRPr="007C4B08">
        <w:rPr>
          <w:szCs w:val="24"/>
        </w:rPr>
        <w:t>(</w:t>
      </w:r>
      <w:r w:rsidR="004B7F1A" w:rsidRPr="007C4B08">
        <w:rPr>
          <w:szCs w:val="24"/>
        </w:rPr>
        <w:t xml:space="preserve">Dec </w:t>
      </w:r>
      <w:r w:rsidR="00AE6E58" w:rsidRPr="007C4B08">
        <w:rPr>
          <w:szCs w:val="24"/>
        </w:rPr>
        <w:t>202</w:t>
      </w:r>
      <w:r w:rsidR="00D4777D" w:rsidRPr="007C4B08">
        <w:rPr>
          <w:szCs w:val="24"/>
        </w:rPr>
        <w:t>4</w:t>
      </w:r>
      <w:r w:rsidR="00AE6E58" w:rsidRPr="007C4B08">
        <w:rPr>
          <w:szCs w:val="24"/>
        </w:rPr>
        <w:t>) states that “Local Planning Authorities should identify and update annually a supply of specific deliverable sites sufficient to provide a minimum of five years’ worth of housing against their housing requirement set out in strategic policies, or against their local housing need where the strategic policies are more than five years old.”</w:t>
      </w:r>
      <w:r w:rsidR="008B538B" w:rsidRPr="007C4B08">
        <w:rPr>
          <w:szCs w:val="24"/>
        </w:rPr>
        <w:t xml:space="preserve"> The extant Warwick District Local Plan was adopted on 20</w:t>
      </w:r>
      <w:r w:rsidR="008B538B" w:rsidRPr="007C4B08">
        <w:rPr>
          <w:szCs w:val="24"/>
          <w:vertAlign w:val="superscript"/>
        </w:rPr>
        <w:t>th</w:t>
      </w:r>
      <w:r w:rsidR="008B538B" w:rsidRPr="007C4B08">
        <w:rPr>
          <w:szCs w:val="24"/>
        </w:rPr>
        <w:t xml:space="preserve"> September 2017 and so the </w:t>
      </w:r>
      <w:proofErr w:type="gramStart"/>
      <w:r w:rsidR="008B538B" w:rsidRPr="007C4B08">
        <w:rPr>
          <w:szCs w:val="24"/>
        </w:rPr>
        <w:t>five year</w:t>
      </w:r>
      <w:proofErr w:type="gramEnd"/>
      <w:r w:rsidR="008B538B" w:rsidRPr="007C4B08">
        <w:rPr>
          <w:szCs w:val="24"/>
        </w:rPr>
        <w:t xml:space="preserve"> period concluded on the </w:t>
      </w:r>
      <w:proofErr w:type="gramStart"/>
      <w:r w:rsidR="008B538B" w:rsidRPr="007C4B08">
        <w:rPr>
          <w:szCs w:val="24"/>
        </w:rPr>
        <w:t>20</w:t>
      </w:r>
      <w:r w:rsidR="008B538B" w:rsidRPr="007C4B08">
        <w:rPr>
          <w:szCs w:val="24"/>
          <w:vertAlign w:val="superscript"/>
        </w:rPr>
        <w:t>th</w:t>
      </w:r>
      <w:proofErr w:type="gramEnd"/>
      <w:r w:rsidR="008B538B" w:rsidRPr="007C4B08">
        <w:rPr>
          <w:szCs w:val="24"/>
        </w:rPr>
        <w:t xml:space="preserve"> September 2022. </w:t>
      </w:r>
      <w:r w:rsidR="003D663E" w:rsidRPr="007C4B08">
        <w:rPr>
          <w:szCs w:val="24"/>
        </w:rPr>
        <w:t xml:space="preserve">The latest Standard Method figure for Warwick District Council is </w:t>
      </w:r>
      <w:r w:rsidR="00D4777D" w:rsidRPr="007C4B08">
        <w:rPr>
          <w:szCs w:val="24"/>
        </w:rPr>
        <w:t>1</w:t>
      </w:r>
      <w:r w:rsidR="004B7F1A" w:rsidRPr="007C4B08">
        <w:rPr>
          <w:szCs w:val="24"/>
        </w:rPr>
        <w:t>,</w:t>
      </w:r>
      <w:r w:rsidR="00D4777D" w:rsidRPr="007C4B08">
        <w:rPr>
          <w:szCs w:val="24"/>
        </w:rPr>
        <w:t>0</w:t>
      </w:r>
      <w:r w:rsidR="000F2163">
        <w:rPr>
          <w:szCs w:val="24"/>
        </w:rPr>
        <w:t>85</w:t>
      </w:r>
      <w:r w:rsidR="003D663E" w:rsidRPr="007C4B08">
        <w:rPr>
          <w:szCs w:val="24"/>
        </w:rPr>
        <w:t xml:space="preserve"> dwelling</w:t>
      </w:r>
      <w:r w:rsidR="002B18CA" w:rsidRPr="007C4B08">
        <w:rPr>
          <w:szCs w:val="24"/>
        </w:rPr>
        <w:t>s</w:t>
      </w:r>
      <w:r w:rsidR="003D663E" w:rsidRPr="007C4B08">
        <w:rPr>
          <w:szCs w:val="24"/>
        </w:rPr>
        <w:t xml:space="preserve"> per annum. </w:t>
      </w:r>
    </w:p>
    <w:p w14:paraId="303100A5" w14:textId="7C80D087" w:rsidR="00535ED0" w:rsidRPr="007C4B08" w:rsidRDefault="00432882" w:rsidP="00AA28C2">
      <w:pPr>
        <w:pStyle w:val="ListParagraph"/>
        <w:numPr>
          <w:ilvl w:val="0"/>
          <w:numId w:val="17"/>
        </w:numPr>
        <w:ind w:left="284" w:hanging="284"/>
        <w:rPr>
          <w:szCs w:val="24"/>
        </w:rPr>
      </w:pPr>
      <w:r w:rsidRPr="007C4B08">
        <w:rPr>
          <w:b/>
          <w:szCs w:val="24"/>
        </w:rPr>
        <w:t>Buffer</w:t>
      </w:r>
      <w:r w:rsidR="007831EF" w:rsidRPr="007C4B08">
        <w:rPr>
          <w:b/>
          <w:szCs w:val="24"/>
        </w:rPr>
        <w:t>:</w:t>
      </w:r>
      <w:r w:rsidR="00C83D53" w:rsidRPr="007C4B08">
        <w:rPr>
          <w:szCs w:val="24"/>
        </w:rPr>
        <w:t xml:space="preserve"> </w:t>
      </w:r>
      <w:r w:rsidRPr="007C4B08">
        <w:rPr>
          <w:szCs w:val="24"/>
        </w:rPr>
        <w:t xml:space="preserve">Para. 78 of the NPPF states that the supply of deliverable sites should include a buffer (moved forward from later in the plan period) of 5% to ensure choice and competition in the market for land, or 20% where there has been significant under delivery of housing over </w:t>
      </w:r>
      <w:r w:rsidR="00AA28C2">
        <w:rPr>
          <w:szCs w:val="24"/>
        </w:rPr>
        <w:t xml:space="preserve">the </w:t>
      </w:r>
      <w:r w:rsidRPr="007C4B08">
        <w:rPr>
          <w:szCs w:val="24"/>
        </w:rPr>
        <w:t>previous three years. Under delivery is measured against the Housing Delivery Test</w:t>
      </w:r>
      <w:r w:rsidR="004B7F1A" w:rsidRPr="007C4B08">
        <w:rPr>
          <w:szCs w:val="24"/>
        </w:rPr>
        <w:t xml:space="preserve"> (HDT)</w:t>
      </w:r>
      <w:r w:rsidRPr="007C4B08">
        <w:rPr>
          <w:szCs w:val="24"/>
        </w:rPr>
        <w:t xml:space="preserve">, where this indicates that delivery was below 85% of the housing requirement. </w:t>
      </w:r>
      <w:r w:rsidR="00ED22BD" w:rsidRPr="007C4B08">
        <w:rPr>
          <w:szCs w:val="24"/>
        </w:rPr>
        <w:t xml:space="preserve">The </w:t>
      </w:r>
      <w:r w:rsidR="003E6693" w:rsidRPr="007C4B08">
        <w:rPr>
          <w:szCs w:val="24"/>
        </w:rPr>
        <w:t xml:space="preserve">latest </w:t>
      </w:r>
      <w:r w:rsidR="00520B13" w:rsidRPr="007C4B08">
        <w:rPr>
          <w:szCs w:val="24"/>
        </w:rPr>
        <w:t>202</w:t>
      </w:r>
      <w:r w:rsidR="008B0395" w:rsidRPr="007C4B08">
        <w:rPr>
          <w:szCs w:val="24"/>
        </w:rPr>
        <w:t>3</w:t>
      </w:r>
      <w:r w:rsidR="00520B13" w:rsidRPr="007C4B08">
        <w:rPr>
          <w:szCs w:val="24"/>
        </w:rPr>
        <w:t xml:space="preserve"> </w:t>
      </w:r>
      <w:r w:rsidR="00D253AC" w:rsidRPr="007C4B08">
        <w:rPr>
          <w:szCs w:val="24"/>
        </w:rPr>
        <w:t>H</w:t>
      </w:r>
      <w:r w:rsidR="00ED22BD" w:rsidRPr="007C4B08">
        <w:rPr>
          <w:szCs w:val="24"/>
        </w:rPr>
        <w:t xml:space="preserve">ousing </w:t>
      </w:r>
      <w:r w:rsidR="00D253AC" w:rsidRPr="007C4B08">
        <w:rPr>
          <w:szCs w:val="24"/>
        </w:rPr>
        <w:t>D</w:t>
      </w:r>
      <w:r w:rsidR="00ED22BD" w:rsidRPr="007C4B08">
        <w:rPr>
          <w:szCs w:val="24"/>
        </w:rPr>
        <w:t xml:space="preserve">elivery </w:t>
      </w:r>
      <w:r w:rsidR="00D253AC" w:rsidRPr="007C4B08">
        <w:rPr>
          <w:szCs w:val="24"/>
        </w:rPr>
        <w:t>T</w:t>
      </w:r>
      <w:r w:rsidR="00ED22BD" w:rsidRPr="007C4B08">
        <w:rPr>
          <w:szCs w:val="24"/>
        </w:rPr>
        <w:t>est percentage</w:t>
      </w:r>
      <w:r w:rsidR="00764EAF" w:rsidRPr="007C4B08">
        <w:rPr>
          <w:szCs w:val="24"/>
        </w:rPr>
        <w:t xml:space="preserve"> </w:t>
      </w:r>
      <w:r w:rsidR="007831EF" w:rsidRPr="007C4B08">
        <w:rPr>
          <w:szCs w:val="24"/>
        </w:rPr>
        <w:t>(published Dec 202</w:t>
      </w:r>
      <w:r w:rsidR="008B0395" w:rsidRPr="007C4B08">
        <w:rPr>
          <w:szCs w:val="24"/>
        </w:rPr>
        <w:t>4</w:t>
      </w:r>
      <w:r w:rsidR="007831EF" w:rsidRPr="007C4B08">
        <w:rPr>
          <w:szCs w:val="24"/>
        </w:rPr>
        <w:t>) covers</w:t>
      </w:r>
      <w:r w:rsidR="00ED22BD" w:rsidRPr="007C4B08">
        <w:rPr>
          <w:szCs w:val="24"/>
        </w:rPr>
        <w:t xml:space="preserve"> the three-year per</w:t>
      </w:r>
      <w:r w:rsidR="00D253AC" w:rsidRPr="007C4B08">
        <w:rPr>
          <w:szCs w:val="24"/>
        </w:rPr>
        <w:t xml:space="preserve">iod </w:t>
      </w:r>
      <w:r w:rsidR="00AE6E58" w:rsidRPr="007C4B08">
        <w:rPr>
          <w:szCs w:val="24"/>
        </w:rPr>
        <w:t>20</w:t>
      </w:r>
      <w:r w:rsidR="008B0395" w:rsidRPr="007C4B08">
        <w:rPr>
          <w:szCs w:val="24"/>
        </w:rPr>
        <w:t>20</w:t>
      </w:r>
      <w:r w:rsidR="00ED22BD" w:rsidRPr="007C4B08">
        <w:rPr>
          <w:szCs w:val="24"/>
        </w:rPr>
        <w:t>/</w:t>
      </w:r>
      <w:r w:rsidR="00AE6E58" w:rsidRPr="007C4B08">
        <w:rPr>
          <w:szCs w:val="24"/>
        </w:rPr>
        <w:t>2</w:t>
      </w:r>
      <w:r w:rsidR="008B0395" w:rsidRPr="007C4B08">
        <w:rPr>
          <w:szCs w:val="24"/>
        </w:rPr>
        <w:t>1</w:t>
      </w:r>
      <w:r w:rsidR="00ED22BD" w:rsidRPr="007C4B08">
        <w:rPr>
          <w:szCs w:val="24"/>
        </w:rPr>
        <w:t xml:space="preserve"> to </w:t>
      </w:r>
      <w:r w:rsidR="00AE6E58" w:rsidRPr="007C4B08">
        <w:rPr>
          <w:szCs w:val="24"/>
        </w:rPr>
        <w:t>202</w:t>
      </w:r>
      <w:r w:rsidR="008B0395" w:rsidRPr="007C4B08">
        <w:rPr>
          <w:szCs w:val="24"/>
        </w:rPr>
        <w:t>3</w:t>
      </w:r>
      <w:r w:rsidR="00ED22BD" w:rsidRPr="007C4B08">
        <w:rPr>
          <w:szCs w:val="24"/>
        </w:rPr>
        <w:t>/</w:t>
      </w:r>
      <w:r w:rsidR="00D253AC" w:rsidRPr="007C4B08">
        <w:rPr>
          <w:szCs w:val="24"/>
        </w:rPr>
        <w:t>2</w:t>
      </w:r>
      <w:r w:rsidR="008B0395" w:rsidRPr="007C4B08">
        <w:rPr>
          <w:szCs w:val="24"/>
        </w:rPr>
        <w:t>4</w:t>
      </w:r>
      <w:r w:rsidR="00764EAF" w:rsidRPr="007C4B08">
        <w:rPr>
          <w:szCs w:val="24"/>
        </w:rPr>
        <w:t xml:space="preserve">. The figure is calculated by central government and </w:t>
      </w:r>
      <w:r w:rsidR="007831EF" w:rsidRPr="007C4B08">
        <w:rPr>
          <w:szCs w:val="24"/>
        </w:rPr>
        <w:t>i</w:t>
      </w:r>
      <w:r w:rsidR="00764EAF" w:rsidRPr="007C4B08">
        <w:rPr>
          <w:szCs w:val="24"/>
        </w:rPr>
        <w:t>nclude</w:t>
      </w:r>
      <w:r w:rsidR="007831EF" w:rsidRPr="007C4B08">
        <w:rPr>
          <w:szCs w:val="24"/>
        </w:rPr>
        <w:t>s</w:t>
      </w:r>
      <w:r w:rsidR="00764EAF" w:rsidRPr="007C4B08">
        <w:rPr>
          <w:szCs w:val="24"/>
        </w:rPr>
        <w:t xml:space="preserve"> an allowance for reduced delivery </w:t>
      </w:r>
      <w:proofErr w:type="gramStart"/>
      <w:r w:rsidR="00764EAF" w:rsidRPr="007C4B08">
        <w:rPr>
          <w:szCs w:val="24"/>
        </w:rPr>
        <w:t>as a result of</w:t>
      </w:r>
      <w:proofErr w:type="gramEnd"/>
      <w:r w:rsidR="00764EAF" w:rsidRPr="007C4B08">
        <w:rPr>
          <w:szCs w:val="24"/>
        </w:rPr>
        <w:t xml:space="preserve"> the Covid-19 pandemic. </w:t>
      </w:r>
      <w:r w:rsidR="003E6693" w:rsidRPr="007C4B08">
        <w:rPr>
          <w:szCs w:val="24"/>
        </w:rPr>
        <w:t xml:space="preserve">The </w:t>
      </w:r>
      <w:r w:rsidR="004B7F1A" w:rsidRPr="007C4B08">
        <w:rPr>
          <w:szCs w:val="24"/>
        </w:rPr>
        <w:t xml:space="preserve">latest </w:t>
      </w:r>
      <w:r w:rsidR="003E6693" w:rsidRPr="007C4B08">
        <w:rPr>
          <w:szCs w:val="24"/>
        </w:rPr>
        <w:t>figure calculated for Warwick District Council was 1</w:t>
      </w:r>
      <w:r w:rsidR="008B0395" w:rsidRPr="007C4B08">
        <w:rPr>
          <w:szCs w:val="24"/>
        </w:rPr>
        <w:t>04</w:t>
      </w:r>
      <w:r w:rsidR="003E6693" w:rsidRPr="007C4B08">
        <w:rPr>
          <w:szCs w:val="24"/>
        </w:rPr>
        <w:t xml:space="preserve">%. </w:t>
      </w:r>
      <w:r w:rsidR="00D253AC" w:rsidRPr="007C4B08">
        <w:rPr>
          <w:szCs w:val="24"/>
        </w:rPr>
        <w:lastRenderedPageBreak/>
        <w:t>The higher 20% buffer would only become applicable should th</w:t>
      </w:r>
      <w:r w:rsidR="003E6693" w:rsidRPr="007C4B08">
        <w:rPr>
          <w:szCs w:val="24"/>
        </w:rPr>
        <w:t>e</w:t>
      </w:r>
      <w:r w:rsidR="00D253AC" w:rsidRPr="007C4B08">
        <w:rPr>
          <w:szCs w:val="24"/>
        </w:rPr>
        <w:t xml:space="preserve"> HDT percentage fall below 85%. </w:t>
      </w:r>
      <w:r w:rsidRPr="007C4B08">
        <w:rPr>
          <w:szCs w:val="24"/>
        </w:rPr>
        <w:t>The 5%</w:t>
      </w:r>
      <w:r w:rsidR="003E6693" w:rsidRPr="007C4B08">
        <w:rPr>
          <w:szCs w:val="24"/>
        </w:rPr>
        <w:t xml:space="preserve"> buffer has therefore been applied for the purposes of the requirement calculation.</w:t>
      </w:r>
    </w:p>
    <w:p w14:paraId="0CD78B75" w14:textId="77777777" w:rsidR="00535ED0" w:rsidRPr="007C4B08" w:rsidRDefault="00535ED0" w:rsidP="00AA28C2">
      <w:pPr>
        <w:pStyle w:val="Heading3"/>
        <w:ind w:left="284" w:hanging="284"/>
      </w:pPr>
      <w:r w:rsidRPr="007C4B08">
        <w:t xml:space="preserve">Notes on the </w:t>
      </w:r>
      <w:proofErr w:type="gramStart"/>
      <w:r w:rsidRPr="007C4B08">
        <w:t>5 year</w:t>
      </w:r>
      <w:proofErr w:type="gramEnd"/>
      <w:r w:rsidRPr="007C4B08">
        <w:t xml:space="preserve"> supply</w:t>
      </w:r>
    </w:p>
    <w:p w14:paraId="440DAEFE" w14:textId="568A4E73" w:rsidR="006A219E" w:rsidRPr="007C4B08" w:rsidRDefault="00535ED0" w:rsidP="00AA28C2">
      <w:pPr>
        <w:pStyle w:val="ListParagraph"/>
        <w:numPr>
          <w:ilvl w:val="0"/>
          <w:numId w:val="18"/>
        </w:numPr>
        <w:ind w:left="284" w:hanging="284"/>
        <w:rPr>
          <w:szCs w:val="24"/>
        </w:rPr>
      </w:pPr>
      <w:r w:rsidRPr="007C4B08">
        <w:rPr>
          <w:b/>
          <w:szCs w:val="24"/>
        </w:rPr>
        <w:t>Commitments</w:t>
      </w:r>
      <w:r w:rsidR="00390244" w:rsidRPr="007C4B08">
        <w:rPr>
          <w:b/>
          <w:szCs w:val="24"/>
        </w:rPr>
        <w:t>:</w:t>
      </w:r>
      <w:r w:rsidR="00390244" w:rsidRPr="007C4B08">
        <w:rPr>
          <w:szCs w:val="24"/>
        </w:rPr>
        <w:t xml:space="preserve"> Details of all sites with planning permission as </w:t>
      </w:r>
      <w:proofErr w:type="gramStart"/>
      <w:r w:rsidR="00390244" w:rsidRPr="007C4B08">
        <w:rPr>
          <w:szCs w:val="24"/>
        </w:rPr>
        <w:t>at</w:t>
      </w:r>
      <w:proofErr w:type="gramEnd"/>
      <w:r w:rsidR="00390244" w:rsidRPr="007C4B08">
        <w:rPr>
          <w:szCs w:val="24"/>
        </w:rPr>
        <w:t xml:space="preserve"> 1</w:t>
      </w:r>
      <w:r w:rsidR="00390244" w:rsidRPr="007C4B08">
        <w:rPr>
          <w:szCs w:val="24"/>
          <w:vertAlign w:val="superscript"/>
        </w:rPr>
        <w:t>st</w:t>
      </w:r>
      <w:r w:rsidR="00390244" w:rsidRPr="007C4B08">
        <w:rPr>
          <w:szCs w:val="24"/>
        </w:rPr>
        <w:t xml:space="preserve"> April </w:t>
      </w:r>
      <w:r w:rsidR="00871F9C" w:rsidRPr="007C4B08">
        <w:rPr>
          <w:szCs w:val="24"/>
        </w:rPr>
        <w:t>202</w:t>
      </w:r>
      <w:r w:rsidR="000F2163">
        <w:rPr>
          <w:szCs w:val="24"/>
        </w:rPr>
        <w:t>5</w:t>
      </w:r>
      <w:r w:rsidR="00871F9C" w:rsidRPr="007C4B08">
        <w:rPr>
          <w:szCs w:val="24"/>
        </w:rPr>
        <w:t xml:space="preserve"> </w:t>
      </w:r>
      <w:r w:rsidR="00390244" w:rsidRPr="007C4B08">
        <w:rPr>
          <w:szCs w:val="24"/>
        </w:rPr>
        <w:t xml:space="preserve">are shown in </w:t>
      </w:r>
      <w:r w:rsidR="00ED22BD" w:rsidRPr="007C4B08">
        <w:rPr>
          <w:szCs w:val="24"/>
        </w:rPr>
        <w:t>the Housing Trajectory, for both outline and full permissions.</w:t>
      </w:r>
      <w:r w:rsidR="00390244" w:rsidRPr="007C4B08">
        <w:rPr>
          <w:szCs w:val="24"/>
        </w:rPr>
        <w:t xml:space="preserve"> The Trajectory shows the forecast delivery for each site </w:t>
      </w:r>
      <w:r w:rsidR="00ED22BD" w:rsidRPr="007C4B08">
        <w:rPr>
          <w:szCs w:val="24"/>
        </w:rPr>
        <w:t>of</w:t>
      </w:r>
      <w:r w:rsidR="00390244" w:rsidRPr="007C4B08">
        <w:rPr>
          <w:szCs w:val="24"/>
        </w:rPr>
        <w:t xml:space="preserve"> 10</w:t>
      </w:r>
      <w:r w:rsidR="00ED22BD" w:rsidRPr="007C4B08">
        <w:rPr>
          <w:szCs w:val="24"/>
        </w:rPr>
        <w:t xml:space="preserve"> or more</w:t>
      </w:r>
      <w:r w:rsidR="00390244" w:rsidRPr="007C4B08">
        <w:rPr>
          <w:szCs w:val="24"/>
        </w:rPr>
        <w:t xml:space="preserve"> dwellings. It assumes the </w:t>
      </w:r>
      <w:r w:rsidR="00384C22" w:rsidRPr="007C4B08">
        <w:rPr>
          <w:szCs w:val="24"/>
        </w:rPr>
        <w:t>2</w:t>
      </w:r>
      <w:r w:rsidR="000F2163">
        <w:rPr>
          <w:szCs w:val="24"/>
        </w:rPr>
        <w:t>30</w:t>
      </w:r>
      <w:r w:rsidR="00BC0CE8" w:rsidRPr="007C4B08">
        <w:rPr>
          <w:szCs w:val="24"/>
        </w:rPr>
        <w:t xml:space="preserve"> </w:t>
      </w:r>
      <w:r w:rsidR="00390244" w:rsidRPr="007C4B08">
        <w:rPr>
          <w:szCs w:val="24"/>
        </w:rPr>
        <w:t>dwellings on site</w:t>
      </w:r>
      <w:r w:rsidR="00575E06" w:rsidRPr="007C4B08">
        <w:rPr>
          <w:szCs w:val="24"/>
        </w:rPr>
        <w:t>s</w:t>
      </w:r>
      <w:r w:rsidR="00390244" w:rsidRPr="007C4B08">
        <w:rPr>
          <w:szCs w:val="24"/>
        </w:rPr>
        <w:t xml:space="preserve"> of under 10 dwellings are split between</w:t>
      </w:r>
      <w:r w:rsidR="00575E06" w:rsidRPr="007C4B08">
        <w:rPr>
          <w:szCs w:val="24"/>
        </w:rPr>
        <w:t xml:space="preserve"> </w:t>
      </w:r>
      <w:r w:rsidR="000F2163">
        <w:rPr>
          <w:szCs w:val="24"/>
        </w:rPr>
        <w:t>2025/26</w:t>
      </w:r>
      <w:r w:rsidR="00384C22" w:rsidRPr="007C4B08">
        <w:rPr>
          <w:szCs w:val="24"/>
        </w:rPr>
        <w:t>,</w:t>
      </w:r>
      <w:r w:rsidR="00BC0CE8" w:rsidRPr="007C4B08">
        <w:rPr>
          <w:szCs w:val="24"/>
        </w:rPr>
        <w:t xml:space="preserve"> </w:t>
      </w:r>
      <w:r w:rsidR="000F2163">
        <w:rPr>
          <w:szCs w:val="24"/>
        </w:rPr>
        <w:t>2026/27</w:t>
      </w:r>
      <w:r w:rsidR="00384C22" w:rsidRPr="007C4B08">
        <w:rPr>
          <w:szCs w:val="24"/>
        </w:rPr>
        <w:t xml:space="preserve"> and </w:t>
      </w:r>
      <w:r w:rsidR="000F2163">
        <w:rPr>
          <w:szCs w:val="24"/>
        </w:rPr>
        <w:t>2027/28</w:t>
      </w:r>
      <w:r w:rsidR="009C3F20" w:rsidRPr="007C4B08">
        <w:rPr>
          <w:szCs w:val="24"/>
        </w:rPr>
        <w:t>.</w:t>
      </w:r>
      <w:r w:rsidR="00575E06" w:rsidRPr="007C4B08">
        <w:rPr>
          <w:szCs w:val="24"/>
        </w:rPr>
        <w:t xml:space="preserve">  In</w:t>
      </w:r>
      <w:r w:rsidR="00390244" w:rsidRPr="007C4B08">
        <w:rPr>
          <w:szCs w:val="24"/>
        </w:rPr>
        <w:t xml:space="preserve"> total </w:t>
      </w:r>
      <w:r w:rsidR="00432882" w:rsidRPr="007C4B08">
        <w:rPr>
          <w:szCs w:val="24"/>
        </w:rPr>
        <w:t>the commitments</w:t>
      </w:r>
      <w:r w:rsidR="00390244" w:rsidRPr="007C4B08">
        <w:rPr>
          <w:szCs w:val="24"/>
        </w:rPr>
        <w:t xml:space="preserve"> (including care homes and student accommodation) are forecast to deliver </w:t>
      </w:r>
      <w:r w:rsidR="00384C22" w:rsidRPr="007C4B08">
        <w:rPr>
          <w:szCs w:val="24"/>
        </w:rPr>
        <w:t>3,</w:t>
      </w:r>
      <w:r w:rsidR="000F2163">
        <w:rPr>
          <w:szCs w:val="24"/>
        </w:rPr>
        <w:t>303</w:t>
      </w:r>
      <w:r w:rsidR="00871F9C" w:rsidRPr="007C4B08">
        <w:rPr>
          <w:szCs w:val="24"/>
        </w:rPr>
        <w:t xml:space="preserve"> </w:t>
      </w:r>
      <w:r w:rsidR="00390244" w:rsidRPr="007C4B08">
        <w:rPr>
          <w:szCs w:val="24"/>
        </w:rPr>
        <w:t xml:space="preserve">dwellings within 5 years. No deduction for non-implementation has been applied for the reasons set out in </w:t>
      </w:r>
      <w:hyperlink r:id="rId8" w:history="1">
        <w:r w:rsidR="006A219E" w:rsidRPr="007C4B08">
          <w:rPr>
            <w:rStyle w:val="Hyperlink"/>
            <w:szCs w:val="24"/>
          </w:rPr>
          <w:t>the Council’s Local Matter 3 statement</w:t>
        </w:r>
      </w:hyperlink>
      <w:r w:rsidR="006A219E" w:rsidRPr="007C4B08">
        <w:rPr>
          <w:szCs w:val="24"/>
        </w:rPr>
        <w:t>, section 3.</w:t>
      </w:r>
    </w:p>
    <w:p w14:paraId="63EA7C71" w14:textId="1ACFB35C" w:rsidR="006A219E" w:rsidRPr="007C4B08" w:rsidRDefault="00535ED0" w:rsidP="00AA28C2">
      <w:pPr>
        <w:pStyle w:val="ListParagraph"/>
        <w:numPr>
          <w:ilvl w:val="0"/>
          <w:numId w:val="18"/>
        </w:numPr>
        <w:ind w:left="284" w:hanging="284"/>
        <w:rPr>
          <w:szCs w:val="24"/>
        </w:rPr>
      </w:pPr>
      <w:r w:rsidRPr="007C4B08">
        <w:rPr>
          <w:b/>
          <w:szCs w:val="24"/>
        </w:rPr>
        <w:t>Care Homes and student accommodation</w:t>
      </w:r>
      <w:r w:rsidR="00390244" w:rsidRPr="007C4B08">
        <w:rPr>
          <w:b/>
          <w:szCs w:val="24"/>
        </w:rPr>
        <w:t>:</w:t>
      </w:r>
      <w:r w:rsidR="00390244" w:rsidRPr="007C4B08">
        <w:rPr>
          <w:szCs w:val="24"/>
        </w:rPr>
        <w:t xml:space="preserve"> The Council has carefully considered the justification for including supply from Care Homes </w:t>
      </w:r>
      <w:r w:rsidR="00862CD5" w:rsidRPr="007C4B08">
        <w:rPr>
          <w:szCs w:val="24"/>
        </w:rPr>
        <w:t>and Student Accommodation in</w:t>
      </w:r>
      <w:r w:rsidR="00390244" w:rsidRPr="007C4B08">
        <w:rPr>
          <w:szCs w:val="24"/>
        </w:rPr>
        <w:t xml:space="preserve"> line with the NPPG.  The justific</w:t>
      </w:r>
      <w:r w:rsidR="002B6661" w:rsidRPr="007C4B08">
        <w:rPr>
          <w:szCs w:val="24"/>
        </w:rPr>
        <w:t xml:space="preserve">ation for this is set out in </w:t>
      </w:r>
      <w:hyperlink r:id="rId9" w:history="1">
        <w:r w:rsidR="006A219E" w:rsidRPr="007C4B08">
          <w:rPr>
            <w:rStyle w:val="Hyperlink"/>
            <w:szCs w:val="24"/>
          </w:rPr>
          <w:t>the Council’s Local Matter 3 statement</w:t>
        </w:r>
      </w:hyperlink>
      <w:r w:rsidR="002B6661" w:rsidRPr="007C4B08">
        <w:rPr>
          <w:szCs w:val="24"/>
        </w:rPr>
        <w:t xml:space="preserve">. </w:t>
      </w:r>
      <w:r w:rsidR="007B6200" w:rsidRPr="007C4B08">
        <w:rPr>
          <w:szCs w:val="24"/>
        </w:rPr>
        <w:t>This justification has been subject to scrutiny through the Local Plan Examination.</w:t>
      </w:r>
      <w:r w:rsidR="00654FFB" w:rsidRPr="007C4B08">
        <w:rPr>
          <w:szCs w:val="24"/>
        </w:rPr>
        <w:t xml:space="preserve"> The calculation for determining the number of homes in Warwick District released from the provision of student rooms is </w:t>
      </w:r>
      <w:r w:rsidR="00F35EA3" w:rsidRPr="007C4B08">
        <w:rPr>
          <w:szCs w:val="24"/>
        </w:rPr>
        <w:t>derived from the Housing Delivery Test Measurement Rule Book, updated in December 2024</w:t>
      </w:r>
      <w:r w:rsidR="00654FFB" w:rsidRPr="007C4B08">
        <w:rPr>
          <w:szCs w:val="24"/>
        </w:rPr>
        <w:t xml:space="preserve">. </w:t>
      </w:r>
      <w:r w:rsidR="00F35EA3" w:rsidRPr="007C4B08">
        <w:rPr>
          <w:szCs w:val="24"/>
        </w:rPr>
        <w:t>The current ratio listed is 2.4, sourced from 2021 Census data prepared by the Office of National Statistics</w:t>
      </w:r>
      <w:r w:rsidR="00926935" w:rsidRPr="007C4B08">
        <w:rPr>
          <w:szCs w:val="24"/>
        </w:rPr>
        <w:t xml:space="preserve">. </w:t>
      </w:r>
      <w:r w:rsidR="00C62971" w:rsidRPr="007C4B08">
        <w:rPr>
          <w:szCs w:val="24"/>
        </w:rPr>
        <w:t>With 2</w:t>
      </w:r>
      <w:r w:rsidR="00380C9B" w:rsidRPr="007C4B08">
        <w:rPr>
          <w:szCs w:val="24"/>
        </w:rPr>
        <w:t>54</w:t>
      </w:r>
      <w:r w:rsidR="00C62971" w:rsidRPr="007C4B08">
        <w:rPr>
          <w:szCs w:val="24"/>
        </w:rPr>
        <w:t xml:space="preserve"> purpose build student accommodation rooms </w:t>
      </w:r>
      <w:r w:rsidR="001278FD" w:rsidRPr="007C4B08">
        <w:rPr>
          <w:szCs w:val="24"/>
        </w:rPr>
        <w:t xml:space="preserve">and </w:t>
      </w:r>
      <w:r w:rsidR="001D30FE">
        <w:rPr>
          <w:szCs w:val="24"/>
        </w:rPr>
        <w:t>-13</w:t>
      </w:r>
      <w:r w:rsidR="001278FD" w:rsidRPr="007C4B08">
        <w:rPr>
          <w:szCs w:val="24"/>
        </w:rPr>
        <w:t xml:space="preserve"> HMO bedrooms, this equates to 1</w:t>
      </w:r>
      <w:r w:rsidR="00364CC7">
        <w:rPr>
          <w:szCs w:val="24"/>
        </w:rPr>
        <w:t>00.4</w:t>
      </w:r>
      <w:r w:rsidR="001278FD" w:rsidRPr="007C4B08">
        <w:rPr>
          <w:szCs w:val="24"/>
        </w:rPr>
        <w:t xml:space="preserve"> dwellings</w:t>
      </w:r>
      <w:r w:rsidR="00C62971" w:rsidRPr="007C4B08">
        <w:rPr>
          <w:szCs w:val="24"/>
        </w:rPr>
        <w:t>.</w:t>
      </w:r>
      <w:r w:rsidR="009C2830" w:rsidRPr="007C4B08">
        <w:rPr>
          <w:szCs w:val="24"/>
        </w:rPr>
        <w:t xml:space="preserve"> For other communal accommodation, a ratio of 1.</w:t>
      </w:r>
      <w:r w:rsidR="00380C9B" w:rsidRPr="007C4B08">
        <w:rPr>
          <w:szCs w:val="24"/>
        </w:rPr>
        <w:t>9</w:t>
      </w:r>
      <w:r w:rsidR="009C2830" w:rsidRPr="007C4B08">
        <w:rPr>
          <w:szCs w:val="24"/>
        </w:rPr>
        <w:t xml:space="preserve"> is applied based on the national average of adults in all households.</w:t>
      </w:r>
      <w:r w:rsidR="00AC7D96" w:rsidRPr="007C4B08">
        <w:rPr>
          <w:szCs w:val="24"/>
        </w:rPr>
        <w:t xml:space="preserve"> This returns an equivalent dwellings figure of </w:t>
      </w:r>
      <w:r w:rsidR="00364CC7">
        <w:rPr>
          <w:szCs w:val="24"/>
        </w:rPr>
        <w:t>11.1</w:t>
      </w:r>
      <w:r w:rsidR="00AC7D96" w:rsidRPr="007C4B08">
        <w:rPr>
          <w:szCs w:val="24"/>
        </w:rPr>
        <w:t xml:space="preserve"> dwellings based on </w:t>
      </w:r>
      <w:r w:rsidR="00364CC7">
        <w:rPr>
          <w:szCs w:val="24"/>
        </w:rPr>
        <w:t>21</w:t>
      </w:r>
      <w:r w:rsidR="00AC7D96" w:rsidRPr="007C4B08">
        <w:rPr>
          <w:szCs w:val="24"/>
        </w:rPr>
        <w:t xml:space="preserve"> C2 residential institution bedrooms.</w:t>
      </w:r>
    </w:p>
    <w:p w14:paraId="761E5793" w14:textId="40EB6731" w:rsidR="006A219E" w:rsidRPr="007C4B08" w:rsidRDefault="00535ED0" w:rsidP="00AA28C2">
      <w:pPr>
        <w:pStyle w:val="ListParagraph"/>
        <w:numPr>
          <w:ilvl w:val="0"/>
          <w:numId w:val="18"/>
        </w:numPr>
        <w:ind w:left="284" w:hanging="284"/>
        <w:rPr>
          <w:szCs w:val="24"/>
        </w:rPr>
      </w:pPr>
      <w:r w:rsidRPr="007C4B08">
        <w:rPr>
          <w:b/>
          <w:szCs w:val="24"/>
        </w:rPr>
        <w:t>Small Urban SHLAA Sites</w:t>
      </w:r>
      <w:r w:rsidR="00390244" w:rsidRPr="007C4B08">
        <w:rPr>
          <w:szCs w:val="24"/>
        </w:rPr>
        <w:t xml:space="preserve">: through the 2015/16 SHLAA </w:t>
      </w:r>
      <w:proofErr w:type="gramStart"/>
      <w:r w:rsidR="00390244" w:rsidRPr="007C4B08">
        <w:rPr>
          <w:szCs w:val="24"/>
        </w:rPr>
        <w:t>a number of</w:t>
      </w:r>
      <w:proofErr w:type="gramEnd"/>
      <w:r w:rsidR="00390244" w:rsidRPr="007C4B08">
        <w:rPr>
          <w:szCs w:val="24"/>
        </w:rPr>
        <w:t xml:space="preserve"> sites for between 5 and 50 dwellings within urban areas </w:t>
      </w:r>
      <w:r w:rsidR="009C2830" w:rsidRPr="007C4B08">
        <w:rPr>
          <w:szCs w:val="24"/>
        </w:rPr>
        <w:t xml:space="preserve">were </w:t>
      </w:r>
      <w:r w:rsidR="00390244" w:rsidRPr="007C4B08">
        <w:rPr>
          <w:szCs w:val="24"/>
        </w:rPr>
        <w:t xml:space="preserve">identified. As </w:t>
      </w:r>
      <w:r w:rsidR="007B6200" w:rsidRPr="007C4B08">
        <w:rPr>
          <w:szCs w:val="24"/>
        </w:rPr>
        <w:t xml:space="preserve">these sites are known about but are too small to allocate and too large to include within a windfalls allowance, they are accounted for separately.  </w:t>
      </w:r>
      <w:r w:rsidR="009C2830" w:rsidRPr="007C4B08">
        <w:rPr>
          <w:szCs w:val="24"/>
        </w:rPr>
        <w:t>Although no SHLAA sites are accounted for in the 5 year period, normally a</w:t>
      </w:r>
      <w:r w:rsidR="007B6200" w:rsidRPr="007C4B08">
        <w:rPr>
          <w:szCs w:val="24"/>
        </w:rPr>
        <w:t xml:space="preserve"> 10% deduction </w:t>
      </w:r>
      <w:r w:rsidR="009C2830" w:rsidRPr="007C4B08">
        <w:rPr>
          <w:szCs w:val="24"/>
        </w:rPr>
        <w:t>is</w:t>
      </w:r>
      <w:r w:rsidR="007B6200" w:rsidRPr="007C4B08">
        <w:rPr>
          <w:szCs w:val="24"/>
        </w:rPr>
        <w:t xml:space="preserve"> applied to these sites for the reasons set out in the </w:t>
      </w:r>
      <w:hyperlink r:id="rId10" w:history="1">
        <w:r w:rsidR="006A219E" w:rsidRPr="007C4B08">
          <w:rPr>
            <w:rStyle w:val="Hyperlink"/>
            <w:szCs w:val="24"/>
          </w:rPr>
          <w:t>Council’s Local Matter 3 statement</w:t>
        </w:r>
      </w:hyperlink>
      <w:r w:rsidR="007B6200" w:rsidRPr="007C4B08">
        <w:rPr>
          <w:szCs w:val="24"/>
        </w:rPr>
        <w:t xml:space="preserve">, </w:t>
      </w:r>
      <w:r w:rsidR="006A219E" w:rsidRPr="007C4B08">
        <w:rPr>
          <w:szCs w:val="24"/>
        </w:rPr>
        <w:t>section 3</w:t>
      </w:r>
      <w:r w:rsidR="00235874" w:rsidRPr="007C4B08">
        <w:rPr>
          <w:szCs w:val="24"/>
        </w:rPr>
        <w:t>.</w:t>
      </w:r>
    </w:p>
    <w:p w14:paraId="34852232" w14:textId="388E3338" w:rsidR="002B6661" w:rsidRPr="007C4B08" w:rsidRDefault="00535ED0" w:rsidP="00AA28C2">
      <w:pPr>
        <w:pStyle w:val="ListParagraph"/>
        <w:numPr>
          <w:ilvl w:val="0"/>
          <w:numId w:val="18"/>
        </w:numPr>
        <w:ind w:left="284" w:hanging="284"/>
        <w:rPr>
          <w:szCs w:val="24"/>
        </w:rPr>
      </w:pPr>
      <w:r w:rsidRPr="007C4B08">
        <w:rPr>
          <w:b/>
          <w:szCs w:val="24"/>
        </w:rPr>
        <w:t>Windfalls Allowance</w:t>
      </w:r>
      <w:r w:rsidR="007B6200" w:rsidRPr="007C4B08">
        <w:rPr>
          <w:szCs w:val="24"/>
        </w:rPr>
        <w:t>: the Co</w:t>
      </w:r>
      <w:r w:rsidR="00575E06" w:rsidRPr="007C4B08">
        <w:rPr>
          <w:szCs w:val="24"/>
        </w:rPr>
        <w:t>uncil has prepared a Windfalls A</w:t>
      </w:r>
      <w:r w:rsidR="007B6200" w:rsidRPr="007C4B08">
        <w:rPr>
          <w:szCs w:val="24"/>
        </w:rPr>
        <w:t>llowance paper (</w:t>
      </w:r>
      <w:hyperlink r:id="rId11" w:history="1">
        <w:r w:rsidR="002B6661" w:rsidRPr="007C4B08">
          <w:rPr>
            <w:rStyle w:val="Hyperlink"/>
            <w:szCs w:val="24"/>
          </w:rPr>
          <w:t>HO29PM</w:t>
        </w:r>
      </w:hyperlink>
      <w:r w:rsidR="002B6661" w:rsidRPr="007C4B08">
        <w:rPr>
          <w:szCs w:val="24"/>
        </w:rPr>
        <w:t xml:space="preserve"> as amended by </w:t>
      </w:r>
      <w:hyperlink r:id="rId12" w:history="1">
        <w:r w:rsidR="002B6661" w:rsidRPr="007C4B08">
          <w:rPr>
            <w:rStyle w:val="Hyperlink"/>
            <w:szCs w:val="24"/>
          </w:rPr>
          <w:t>Exam 136</w:t>
        </w:r>
      </w:hyperlink>
      <w:r w:rsidR="002B6661" w:rsidRPr="007C4B08">
        <w:rPr>
          <w:szCs w:val="24"/>
        </w:rPr>
        <w:t xml:space="preserve">) </w:t>
      </w:r>
      <w:r w:rsidR="007B6200" w:rsidRPr="007C4B08">
        <w:rPr>
          <w:szCs w:val="24"/>
        </w:rPr>
        <w:t xml:space="preserve">which justifies the allowance of </w:t>
      </w:r>
      <w:r w:rsidR="00195445" w:rsidRPr="007C4B08">
        <w:rPr>
          <w:szCs w:val="24"/>
        </w:rPr>
        <w:t xml:space="preserve">505 </w:t>
      </w:r>
      <w:r w:rsidR="007B6200" w:rsidRPr="007C4B08">
        <w:rPr>
          <w:szCs w:val="24"/>
        </w:rPr>
        <w:t xml:space="preserve">dwellings </w:t>
      </w:r>
      <w:r w:rsidR="00575E06" w:rsidRPr="007C4B08">
        <w:rPr>
          <w:szCs w:val="24"/>
        </w:rPr>
        <w:t xml:space="preserve">over the 5 year period. </w:t>
      </w:r>
      <w:r w:rsidR="007B6200" w:rsidRPr="007C4B08">
        <w:rPr>
          <w:szCs w:val="24"/>
        </w:rPr>
        <w:t xml:space="preserve">  This allowance has been subject to scrutiny through the Local Plan Examination</w:t>
      </w:r>
      <w:r w:rsidR="00195445" w:rsidRPr="007C4B08">
        <w:rPr>
          <w:szCs w:val="24"/>
        </w:rPr>
        <w:t xml:space="preserve"> and was addressed in the </w:t>
      </w:r>
      <w:hyperlink r:id="rId13" w:history="1">
        <w:r w:rsidR="00195445" w:rsidRPr="007C4B08">
          <w:rPr>
            <w:rStyle w:val="Hyperlink"/>
            <w:szCs w:val="24"/>
          </w:rPr>
          <w:t>Inspector’s report</w:t>
        </w:r>
      </w:hyperlink>
      <w:r w:rsidR="007B6200" w:rsidRPr="007C4B08">
        <w:rPr>
          <w:szCs w:val="24"/>
        </w:rPr>
        <w:t xml:space="preserve">. </w:t>
      </w:r>
    </w:p>
    <w:p w14:paraId="59315868" w14:textId="336C50FE" w:rsidR="00705B93" w:rsidRPr="007C4B08" w:rsidRDefault="00535ED0" w:rsidP="00AA28C2">
      <w:pPr>
        <w:pStyle w:val="ListParagraph"/>
        <w:numPr>
          <w:ilvl w:val="0"/>
          <w:numId w:val="18"/>
        </w:numPr>
        <w:ind w:left="284" w:hanging="284"/>
        <w:rPr>
          <w:szCs w:val="24"/>
        </w:rPr>
      </w:pPr>
      <w:r w:rsidRPr="007C4B08">
        <w:rPr>
          <w:b/>
          <w:szCs w:val="24"/>
        </w:rPr>
        <w:t>Local Plan Allocations</w:t>
      </w:r>
      <w:r w:rsidR="007B6200" w:rsidRPr="007C4B08">
        <w:rPr>
          <w:szCs w:val="24"/>
        </w:rPr>
        <w:t xml:space="preserve">: The Housing Trajectory shows all Local Plan allocations that do not have planning permission.  Each of these sites has been subject to detailed consideration through the Local Plan Examination including the delivery trajectory.  </w:t>
      </w:r>
      <w:r w:rsidR="009067B8" w:rsidRPr="007C4B08">
        <w:rPr>
          <w:szCs w:val="24"/>
        </w:rPr>
        <w:t>T</w:t>
      </w:r>
      <w:r w:rsidR="00ED22BD" w:rsidRPr="007C4B08">
        <w:rPr>
          <w:szCs w:val="24"/>
        </w:rPr>
        <w:t xml:space="preserve">he </w:t>
      </w:r>
      <w:r w:rsidR="00195445" w:rsidRPr="007C4B08">
        <w:rPr>
          <w:szCs w:val="24"/>
        </w:rPr>
        <w:t>202</w:t>
      </w:r>
      <w:r w:rsidR="00364CC7">
        <w:rPr>
          <w:szCs w:val="24"/>
        </w:rPr>
        <w:t>5</w:t>
      </w:r>
      <w:r w:rsidR="00195445" w:rsidRPr="007C4B08">
        <w:rPr>
          <w:szCs w:val="24"/>
        </w:rPr>
        <w:t xml:space="preserve"> </w:t>
      </w:r>
      <w:r w:rsidR="00705B93" w:rsidRPr="007C4B08">
        <w:rPr>
          <w:szCs w:val="24"/>
        </w:rPr>
        <w:t>trajectory</w:t>
      </w:r>
      <w:r w:rsidR="009067B8" w:rsidRPr="007C4B08">
        <w:rPr>
          <w:szCs w:val="24"/>
        </w:rPr>
        <w:t xml:space="preserve"> incorporates the latest updates provided by</w:t>
      </w:r>
      <w:r w:rsidR="00705B93" w:rsidRPr="007C4B08">
        <w:rPr>
          <w:szCs w:val="24"/>
        </w:rPr>
        <w:t xml:space="preserve"> site promoters and developers.</w:t>
      </w:r>
    </w:p>
    <w:p w14:paraId="7BF756BE" w14:textId="77777777" w:rsidR="005A025C" w:rsidRPr="007C4B08" w:rsidRDefault="005A025C" w:rsidP="00AC7D96">
      <w:pPr>
        <w:spacing w:after="0"/>
        <w:rPr>
          <w:szCs w:val="24"/>
        </w:rPr>
      </w:pPr>
    </w:p>
    <w:p w14:paraId="39826C9E" w14:textId="77777777" w:rsidR="005A025C" w:rsidRPr="007C4B08" w:rsidRDefault="005A025C" w:rsidP="00AC7D96">
      <w:pPr>
        <w:spacing w:after="0"/>
        <w:rPr>
          <w:szCs w:val="24"/>
        </w:rPr>
      </w:pPr>
    </w:p>
    <w:p w14:paraId="4DF62A69" w14:textId="5AC7AE9C" w:rsidR="008420DD" w:rsidRPr="007C4B08" w:rsidRDefault="008420DD" w:rsidP="00AC7D96">
      <w:pPr>
        <w:spacing w:after="0"/>
        <w:rPr>
          <w:szCs w:val="24"/>
        </w:rPr>
      </w:pPr>
      <w:r w:rsidRPr="007C4B08">
        <w:rPr>
          <w:szCs w:val="24"/>
        </w:rPr>
        <w:t>Warwick District Council</w:t>
      </w:r>
    </w:p>
    <w:p w14:paraId="77C5E791" w14:textId="67A1F6AC" w:rsidR="008420DD" w:rsidRPr="007C4B08" w:rsidRDefault="00364CC7" w:rsidP="00AC7D96">
      <w:pPr>
        <w:spacing w:after="0"/>
        <w:rPr>
          <w:szCs w:val="24"/>
        </w:rPr>
      </w:pPr>
      <w:r>
        <w:rPr>
          <w:szCs w:val="24"/>
        </w:rPr>
        <w:t>December</w:t>
      </w:r>
      <w:r w:rsidR="008B0395" w:rsidRPr="007C4B08">
        <w:rPr>
          <w:szCs w:val="24"/>
        </w:rPr>
        <w:t xml:space="preserve"> 2025</w:t>
      </w:r>
    </w:p>
    <w:sectPr w:rsidR="008420DD" w:rsidRPr="007C4B08" w:rsidSect="002B6661">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12F0" w14:textId="77777777" w:rsidR="00DE6CCB" w:rsidRDefault="00DE6CCB" w:rsidP="0054403D">
      <w:r>
        <w:separator/>
      </w:r>
    </w:p>
  </w:endnote>
  <w:endnote w:type="continuationSeparator" w:id="0">
    <w:p w14:paraId="363919A6" w14:textId="77777777" w:rsidR="00DE6CCB" w:rsidRDefault="00DE6CCB" w:rsidP="0054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real-Regular">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treal-Demi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4A5B" w14:textId="77777777" w:rsidR="00DE6CCB" w:rsidRDefault="00DE6CCB" w:rsidP="0054403D">
      <w:r>
        <w:separator/>
      </w:r>
    </w:p>
  </w:footnote>
  <w:footnote w:type="continuationSeparator" w:id="0">
    <w:p w14:paraId="4EB03031" w14:textId="77777777" w:rsidR="00DE6CCB" w:rsidRDefault="00DE6CCB" w:rsidP="00544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5427"/>
    <w:multiLevelType w:val="hybridMultilevel"/>
    <w:tmpl w:val="EA7C5742"/>
    <w:lvl w:ilvl="0" w:tplc="CB82ED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013F0"/>
    <w:multiLevelType w:val="hybridMultilevel"/>
    <w:tmpl w:val="05FCF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23545"/>
    <w:multiLevelType w:val="hybridMultilevel"/>
    <w:tmpl w:val="C176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75C7F"/>
    <w:multiLevelType w:val="hybridMultilevel"/>
    <w:tmpl w:val="D5047638"/>
    <w:lvl w:ilvl="0" w:tplc="F3D494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DF4D21"/>
    <w:multiLevelType w:val="hybridMultilevel"/>
    <w:tmpl w:val="497684E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57CEF"/>
    <w:multiLevelType w:val="hybridMultilevel"/>
    <w:tmpl w:val="852A104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920E6"/>
    <w:multiLevelType w:val="hybridMultilevel"/>
    <w:tmpl w:val="9320C782"/>
    <w:lvl w:ilvl="0" w:tplc="6602E416">
      <w:start w:val="1"/>
      <w:numFmt w:val="bullet"/>
      <w:pStyle w:val="LP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442551"/>
    <w:multiLevelType w:val="hybridMultilevel"/>
    <w:tmpl w:val="A414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24119B"/>
    <w:multiLevelType w:val="hybridMultilevel"/>
    <w:tmpl w:val="52167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757D8D"/>
    <w:multiLevelType w:val="hybridMultilevel"/>
    <w:tmpl w:val="E5D015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2061A4"/>
    <w:multiLevelType w:val="multilevel"/>
    <w:tmpl w:val="190C56CE"/>
    <w:lvl w:ilvl="0">
      <w:start w:val="4"/>
      <w:numFmt w:val="decimal"/>
      <w:pStyle w:val="LPH1"/>
      <w:lvlText w:val="%1"/>
      <w:lvlJc w:val="left"/>
      <w:pPr>
        <w:ind w:left="680" w:hanging="680"/>
      </w:pPr>
      <w:rPr>
        <w:rFonts w:ascii="Montreal-Regular" w:hAnsi="Montreal-Regular" w:hint="default"/>
        <w:color w:val="84286B"/>
        <w:sz w:val="48"/>
      </w:rPr>
    </w:lvl>
    <w:lvl w:ilvl="1">
      <w:start w:val="1"/>
      <w:numFmt w:val="decimal"/>
      <w:pStyle w:val="LPH2"/>
      <w:lvlText w:val="%1.%2"/>
      <w:lvlJc w:val="left"/>
      <w:pPr>
        <w:ind w:left="1106" w:hanging="680"/>
      </w:pPr>
      <w:rPr>
        <w:rFonts w:hint="default"/>
        <w:b w:val="0"/>
        <w:i w:val="0"/>
      </w:rPr>
    </w:lvl>
    <w:lvl w:ilvl="2">
      <w:start w:val="1"/>
      <w:numFmt w:val="decimal"/>
      <w:pStyle w:val="LPH3"/>
      <w:lvlText w:val="%1.%2.%3"/>
      <w:lvlJc w:val="left"/>
      <w:pPr>
        <w:ind w:left="680" w:hanging="680"/>
      </w:pPr>
      <w:rPr>
        <w:rFonts w:hint="default"/>
      </w:rPr>
    </w:lvl>
    <w:lvl w:ilvl="3">
      <w:start w:val="1"/>
      <w:numFmt w:val="decimal"/>
      <w:lvlText w:val="%1.%4"/>
      <w:lvlJc w:val="left"/>
      <w:pPr>
        <w:ind w:left="680" w:hanging="680"/>
      </w:pPr>
      <w:rPr>
        <w:rFonts w:hint="default"/>
        <w:b/>
        <w:i w:val="0"/>
      </w:rPr>
    </w:lvl>
    <w:lvl w:ilvl="4">
      <w:start w:val="1"/>
      <w:numFmt w:val="decimal"/>
      <w:pStyle w:val="LPH-Map"/>
      <w:suff w:val="nothing"/>
      <w:lvlText w:val="Map %5: "/>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6697970"/>
    <w:multiLevelType w:val="hybridMultilevel"/>
    <w:tmpl w:val="2F4A91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4372729">
    <w:abstractNumId w:val="10"/>
  </w:num>
  <w:num w:numId="2" w16cid:durableId="590167565">
    <w:abstractNumId w:val="10"/>
  </w:num>
  <w:num w:numId="3" w16cid:durableId="374352406">
    <w:abstractNumId w:val="10"/>
  </w:num>
  <w:num w:numId="4" w16cid:durableId="1638754616">
    <w:abstractNumId w:val="10"/>
  </w:num>
  <w:num w:numId="5" w16cid:durableId="1885824178">
    <w:abstractNumId w:val="6"/>
  </w:num>
  <w:num w:numId="6" w16cid:durableId="43339653">
    <w:abstractNumId w:val="10"/>
  </w:num>
  <w:num w:numId="7" w16cid:durableId="1016923222">
    <w:abstractNumId w:val="10"/>
  </w:num>
  <w:num w:numId="8" w16cid:durableId="1683314842">
    <w:abstractNumId w:val="10"/>
  </w:num>
  <w:num w:numId="9" w16cid:durableId="793062373">
    <w:abstractNumId w:val="10"/>
  </w:num>
  <w:num w:numId="10" w16cid:durableId="1851682360">
    <w:abstractNumId w:val="6"/>
  </w:num>
  <w:num w:numId="11" w16cid:durableId="2105419564">
    <w:abstractNumId w:val="9"/>
  </w:num>
  <w:num w:numId="12" w16cid:durableId="1032389602">
    <w:abstractNumId w:val="2"/>
  </w:num>
  <w:num w:numId="13" w16cid:durableId="57629997">
    <w:abstractNumId w:val="4"/>
  </w:num>
  <w:num w:numId="14" w16cid:durableId="201132785">
    <w:abstractNumId w:val="5"/>
  </w:num>
  <w:num w:numId="15" w16cid:durableId="2086296192">
    <w:abstractNumId w:val="0"/>
  </w:num>
  <w:num w:numId="16" w16cid:durableId="275914078">
    <w:abstractNumId w:val="3"/>
  </w:num>
  <w:num w:numId="17" w16cid:durableId="621426085">
    <w:abstractNumId w:val="7"/>
  </w:num>
  <w:num w:numId="18" w16cid:durableId="543257334">
    <w:abstractNumId w:val="1"/>
  </w:num>
  <w:num w:numId="19" w16cid:durableId="1378778724">
    <w:abstractNumId w:val="11"/>
  </w:num>
  <w:num w:numId="20" w16cid:durableId="1145662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8E"/>
    <w:rsid w:val="00035682"/>
    <w:rsid w:val="000526F8"/>
    <w:rsid w:val="00094D4A"/>
    <w:rsid w:val="000B475D"/>
    <w:rsid w:val="000B6A30"/>
    <w:rsid w:val="000F2163"/>
    <w:rsid w:val="00117789"/>
    <w:rsid w:val="001278FD"/>
    <w:rsid w:val="00131935"/>
    <w:rsid w:val="001373BD"/>
    <w:rsid w:val="00146B08"/>
    <w:rsid w:val="001509AD"/>
    <w:rsid w:val="0015508F"/>
    <w:rsid w:val="00160FFB"/>
    <w:rsid w:val="00163354"/>
    <w:rsid w:val="00195445"/>
    <w:rsid w:val="001D30FE"/>
    <w:rsid w:val="001D4C84"/>
    <w:rsid w:val="001F5736"/>
    <w:rsid w:val="00212BD2"/>
    <w:rsid w:val="00221273"/>
    <w:rsid w:val="00230417"/>
    <w:rsid w:val="00233758"/>
    <w:rsid w:val="00235874"/>
    <w:rsid w:val="00251148"/>
    <w:rsid w:val="002B18CA"/>
    <w:rsid w:val="002B525E"/>
    <w:rsid w:val="002B6661"/>
    <w:rsid w:val="002C7E12"/>
    <w:rsid w:val="003479A7"/>
    <w:rsid w:val="0035584E"/>
    <w:rsid w:val="00364CC7"/>
    <w:rsid w:val="00365DF0"/>
    <w:rsid w:val="00380C9B"/>
    <w:rsid w:val="00384C22"/>
    <w:rsid w:val="00390244"/>
    <w:rsid w:val="003922A3"/>
    <w:rsid w:val="00396CE2"/>
    <w:rsid w:val="0039758A"/>
    <w:rsid w:val="003C1BAF"/>
    <w:rsid w:val="003D663E"/>
    <w:rsid w:val="003E6693"/>
    <w:rsid w:val="003F7A27"/>
    <w:rsid w:val="00413A56"/>
    <w:rsid w:val="00432882"/>
    <w:rsid w:val="00436CCF"/>
    <w:rsid w:val="004450EC"/>
    <w:rsid w:val="00451ACC"/>
    <w:rsid w:val="00466E01"/>
    <w:rsid w:val="004B368F"/>
    <w:rsid w:val="004B7F1A"/>
    <w:rsid w:val="004C1421"/>
    <w:rsid w:val="004C6174"/>
    <w:rsid w:val="004E7210"/>
    <w:rsid w:val="00520B13"/>
    <w:rsid w:val="005337DF"/>
    <w:rsid w:val="00535ED0"/>
    <w:rsid w:val="0054403D"/>
    <w:rsid w:val="00565031"/>
    <w:rsid w:val="00575E06"/>
    <w:rsid w:val="0059102C"/>
    <w:rsid w:val="005975A1"/>
    <w:rsid w:val="005A025C"/>
    <w:rsid w:val="005A30B4"/>
    <w:rsid w:val="005B48F3"/>
    <w:rsid w:val="005D4F8C"/>
    <w:rsid w:val="005E77E8"/>
    <w:rsid w:val="00600B82"/>
    <w:rsid w:val="006021F7"/>
    <w:rsid w:val="00613847"/>
    <w:rsid w:val="00644793"/>
    <w:rsid w:val="00645F8D"/>
    <w:rsid w:val="00654FFB"/>
    <w:rsid w:val="0065708D"/>
    <w:rsid w:val="006638A6"/>
    <w:rsid w:val="00672AA6"/>
    <w:rsid w:val="006763E4"/>
    <w:rsid w:val="00683CC9"/>
    <w:rsid w:val="00697027"/>
    <w:rsid w:val="006A219E"/>
    <w:rsid w:val="006D7C98"/>
    <w:rsid w:val="00704294"/>
    <w:rsid w:val="00705B93"/>
    <w:rsid w:val="00726C96"/>
    <w:rsid w:val="00733452"/>
    <w:rsid w:val="00735FBF"/>
    <w:rsid w:val="00744EDD"/>
    <w:rsid w:val="00746480"/>
    <w:rsid w:val="00751625"/>
    <w:rsid w:val="00754F1F"/>
    <w:rsid w:val="00764EAF"/>
    <w:rsid w:val="007831EF"/>
    <w:rsid w:val="0078734C"/>
    <w:rsid w:val="007A329C"/>
    <w:rsid w:val="007A6AA2"/>
    <w:rsid w:val="007B1935"/>
    <w:rsid w:val="007B6200"/>
    <w:rsid w:val="007C4B08"/>
    <w:rsid w:val="007D09E9"/>
    <w:rsid w:val="007E4100"/>
    <w:rsid w:val="00832170"/>
    <w:rsid w:val="008366ED"/>
    <w:rsid w:val="008420DD"/>
    <w:rsid w:val="00862CD5"/>
    <w:rsid w:val="00871F9C"/>
    <w:rsid w:val="0087298E"/>
    <w:rsid w:val="00890A05"/>
    <w:rsid w:val="00890D39"/>
    <w:rsid w:val="008A3555"/>
    <w:rsid w:val="008B0395"/>
    <w:rsid w:val="008B538B"/>
    <w:rsid w:val="008D0BB0"/>
    <w:rsid w:val="008D44D5"/>
    <w:rsid w:val="008E1EFB"/>
    <w:rsid w:val="009067B8"/>
    <w:rsid w:val="00925E56"/>
    <w:rsid w:val="00926935"/>
    <w:rsid w:val="0095779C"/>
    <w:rsid w:val="00962F42"/>
    <w:rsid w:val="00973159"/>
    <w:rsid w:val="009904BF"/>
    <w:rsid w:val="009A128B"/>
    <w:rsid w:val="009B3A41"/>
    <w:rsid w:val="009C2830"/>
    <w:rsid w:val="009C3F20"/>
    <w:rsid w:val="009D0735"/>
    <w:rsid w:val="009D2EC4"/>
    <w:rsid w:val="009E5CD1"/>
    <w:rsid w:val="009F43D9"/>
    <w:rsid w:val="00A17CA4"/>
    <w:rsid w:val="00A53713"/>
    <w:rsid w:val="00A66740"/>
    <w:rsid w:val="00A83B79"/>
    <w:rsid w:val="00AA28C2"/>
    <w:rsid w:val="00AC7D96"/>
    <w:rsid w:val="00AD30D6"/>
    <w:rsid w:val="00AD3B0A"/>
    <w:rsid w:val="00AE6E58"/>
    <w:rsid w:val="00AF519A"/>
    <w:rsid w:val="00B02625"/>
    <w:rsid w:val="00B30903"/>
    <w:rsid w:val="00B37683"/>
    <w:rsid w:val="00B45246"/>
    <w:rsid w:val="00B56349"/>
    <w:rsid w:val="00B63594"/>
    <w:rsid w:val="00B71C81"/>
    <w:rsid w:val="00B84E42"/>
    <w:rsid w:val="00BC0CE8"/>
    <w:rsid w:val="00BD25C1"/>
    <w:rsid w:val="00BD7E90"/>
    <w:rsid w:val="00C066BC"/>
    <w:rsid w:val="00C13312"/>
    <w:rsid w:val="00C271A3"/>
    <w:rsid w:val="00C27445"/>
    <w:rsid w:val="00C62971"/>
    <w:rsid w:val="00C73B55"/>
    <w:rsid w:val="00C82658"/>
    <w:rsid w:val="00C83D53"/>
    <w:rsid w:val="00CD0667"/>
    <w:rsid w:val="00D253AC"/>
    <w:rsid w:val="00D324E6"/>
    <w:rsid w:val="00D4777D"/>
    <w:rsid w:val="00D63482"/>
    <w:rsid w:val="00D72DF6"/>
    <w:rsid w:val="00D82173"/>
    <w:rsid w:val="00D968C6"/>
    <w:rsid w:val="00DC43E7"/>
    <w:rsid w:val="00DC7FC2"/>
    <w:rsid w:val="00DD3659"/>
    <w:rsid w:val="00DE1D11"/>
    <w:rsid w:val="00DE32E3"/>
    <w:rsid w:val="00DE6CCB"/>
    <w:rsid w:val="00E00CDA"/>
    <w:rsid w:val="00E158BE"/>
    <w:rsid w:val="00E2722A"/>
    <w:rsid w:val="00E35FEE"/>
    <w:rsid w:val="00E444EA"/>
    <w:rsid w:val="00E741A4"/>
    <w:rsid w:val="00E81DA1"/>
    <w:rsid w:val="00E86CED"/>
    <w:rsid w:val="00EC5083"/>
    <w:rsid w:val="00ED22BD"/>
    <w:rsid w:val="00EF4F5E"/>
    <w:rsid w:val="00F22A52"/>
    <w:rsid w:val="00F3259E"/>
    <w:rsid w:val="00F35EA3"/>
    <w:rsid w:val="00F46C7F"/>
    <w:rsid w:val="00F5542D"/>
    <w:rsid w:val="00F8283E"/>
    <w:rsid w:val="00F97414"/>
    <w:rsid w:val="00FA0332"/>
    <w:rsid w:val="00FB0438"/>
    <w:rsid w:val="00FC2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A479D6F"/>
  <w15:docId w15:val="{03B5F973-F815-4042-8C2A-3B18117E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03D"/>
    <w:rPr>
      <w:sz w:val="24"/>
    </w:rPr>
  </w:style>
  <w:style w:type="paragraph" w:styleId="Heading1">
    <w:name w:val="heading 1"/>
    <w:basedOn w:val="Normal"/>
    <w:next w:val="Normal"/>
    <w:link w:val="Heading1Char"/>
    <w:uiPriority w:val="9"/>
    <w:qFormat/>
    <w:rsid w:val="008E1EFB"/>
    <w:pPr>
      <w:keepNext/>
      <w:keepLines/>
      <w:spacing w:after="0"/>
      <w:outlineLvl w:val="0"/>
    </w:pPr>
    <w:rPr>
      <w:rFonts w:eastAsia="Times New Roman" w:cstheme="minorHAnsi"/>
      <w:b/>
      <w:sz w:val="36"/>
      <w:szCs w:val="32"/>
      <w:lang w:eastAsia="en-GB"/>
    </w:rPr>
  </w:style>
  <w:style w:type="paragraph" w:styleId="Heading2">
    <w:name w:val="heading 2"/>
    <w:basedOn w:val="Normal"/>
    <w:next w:val="Normal"/>
    <w:link w:val="Heading2Char"/>
    <w:uiPriority w:val="9"/>
    <w:unhideWhenUsed/>
    <w:qFormat/>
    <w:rsid w:val="008E1EFB"/>
    <w:pPr>
      <w:keepNext/>
      <w:keepLines/>
      <w:spacing w:after="0"/>
      <w:outlineLvl w:val="1"/>
    </w:pPr>
    <w:rPr>
      <w:rFonts w:eastAsia="Times New Roman" w:cstheme="minorHAnsi"/>
      <w:b/>
      <w:sz w:val="28"/>
      <w:szCs w:val="26"/>
      <w:lang w:eastAsia="en-GB"/>
    </w:rPr>
  </w:style>
  <w:style w:type="paragraph" w:styleId="Heading3">
    <w:name w:val="heading 3"/>
    <w:basedOn w:val="Normal"/>
    <w:next w:val="Normal"/>
    <w:link w:val="Heading3Char"/>
    <w:uiPriority w:val="9"/>
    <w:unhideWhenUsed/>
    <w:qFormat/>
    <w:rsid w:val="0054403D"/>
    <w:pPr>
      <w:keepNext/>
      <w:keepLines/>
      <w:spacing w:before="40" w:after="0"/>
      <w:outlineLvl w:val="2"/>
    </w:pPr>
    <w:rPr>
      <w:rFonts w:eastAsiaTheme="majorEastAsia" w:cstheme="minorHAns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PH1">
    <w:name w:val="LP H1"/>
    <w:basedOn w:val="Normal"/>
    <w:next w:val="Normal"/>
    <w:qFormat/>
    <w:rsid w:val="00600B82"/>
    <w:pPr>
      <w:numPr>
        <w:numId w:val="9"/>
      </w:numPr>
      <w:pBdr>
        <w:bottom w:val="single" w:sz="12" w:space="11" w:color="84286B"/>
      </w:pBdr>
      <w:spacing w:before="240" w:after="240" w:line="336" w:lineRule="auto"/>
    </w:pPr>
    <w:rPr>
      <w:rFonts w:ascii="Montreal-Regular" w:hAnsi="Montreal-Regular" w:cs="Calibri"/>
      <w:color w:val="84286B"/>
      <w:spacing w:val="8"/>
      <w:sz w:val="48"/>
    </w:rPr>
  </w:style>
  <w:style w:type="paragraph" w:customStyle="1" w:styleId="LPH2">
    <w:name w:val="LP H2"/>
    <w:basedOn w:val="Normal"/>
    <w:qFormat/>
    <w:rsid w:val="00600B82"/>
    <w:pPr>
      <w:numPr>
        <w:ilvl w:val="1"/>
        <w:numId w:val="9"/>
      </w:numPr>
      <w:spacing w:after="240" w:line="336" w:lineRule="auto"/>
    </w:pPr>
    <w:rPr>
      <w:rFonts w:ascii="Montreal-Regular" w:hAnsi="Montreal-Regular" w:cs="Calibri"/>
      <w:spacing w:val="8"/>
      <w:sz w:val="20"/>
    </w:rPr>
  </w:style>
  <w:style w:type="paragraph" w:customStyle="1" w:styleId="LPH3">
    <w:name w:val="LP H3"/>
    <w:basedOn w:val="Normal"/>
    <w:qFormat/>
    <w:rsid w:val="00600B82"/>
    <w:pPr>
      <w:numPr>
        <w:ilvl w:val="2"/>
        <w:numId w:val="9"/>
      </w:numPr>
      <w:spacing w:after="240" w:line="336" w:lineRule="auto"/>
    </w:pPr>
    <w:rPr>
      <w:rFonts w:ascii="Montreal-Regular" w:hAnsi="Montreal-Regular" w:cs="Calibri"/>
      <w:spacing w:val="8"/>
      <w:sz w:val="20"/>
    </w:rPr>
  </w:style>
  <w:style w:type="paragraph" w:customStyle="1" w:styleId="LPH-Map">
    <w:name w:val="LP H-Map"/>
    <w:basedOn w:val="LPH3"/>
    <w:next w:val="Normal"/>
    <w:qFormat/>
    <w:rsid w:val="00600B82"/>
    <w:pPr>
      <w:numPr>
        <w:ilvl w:val="4"/>
      </w:numPr>
    </w:pPr>
    <w:rPr>
      <w:color w:val="84286B"/>
      <w:sz w:val="48"/>
    </w:rPr>
  </w:style>
  <w:style w:type="paragraph" w:customStyle="1" w:styleId="LPH-Small">
    <w:name w:val="LP H-Small"/>
    <w:next w:val="Normal"/>
    <w:qFormat/>
    <w:rsid w:val="00600B82"/>
    <w:rPr>
      <w:rFonts w:ascii="Montreal-DemiBold" w:hAnsi="Montreal-DemiBold" w:cs="Calibri"/>
      <w:color w:val="84286B"/>
      <w:spacing w:val="8"/>
      <w:sz w:val="20"/>
    </w:rPr>
  </w:style>
  <w:style w:type="paragraph" w:customStyle="1" w:styleId="LPBullet01">
    <w:name w:val="LP Bullet 01"/>
    <w:basedOn w:val="ListParagraph"/>
    <w:qFormat/>
    <w:rsid w:val="00600B82"/>
    <w:pPr>
      <w:numPr>
        <w:numId w:val="10"/>
      </w:numPr>
      <w:spacing w:after="240" w:line="336" w:lineRule="auto"/>
      <w:contextualSpacing w:val="0"/>
    </w:pPr>
    <w:rPr>
      <w:rFonts w:ascii="Montreal-Regular" w:hAnsi="Montreal-Regular" w:cs="Calibri"/>
      <w:spacing w:val="8"/>
      <w:sz w:val="20"/>
    </w:rPr>
  </w:style>
  <w:style w:type="paragraph" w:styleId="ListParagraph">
    <w:name w:val="List Paragraph"/>
    <w:basedOn w:val="Normal"/>
    <w:uiPriority w:val="34"/>
    <w:qFormat/>
    <w:rsid w:val="00600B82"/>
    <w:pPr>
      <w:ind w:left="720"/>
      <w:contextualSpacing/>
    </w:pPr>
  </w:style>
  <w:style w:type="character" w:styleId="SubtleReference">
    <w:name w:val="Subtle Reference"/>
    <w:basedOn w:val="DefaultParagraphFont"/>
    <w:uiPriority w:val="31"/>
    <w:qFormat/>
    <w:rsid w:val="00600B82"/>
    <w:rPr>
      <w:smallCaps/>
      <w:color w:val="C0504D" w:themeColor="accent2"/>
      <w:u w:val="single"/>
    </w:rPr>
  </w:style>
  <w:style w:type="character" w:styleId="Hyperlink">
    <w:name w:val="Hyperlink"/>
    <w:basedOn w:val="DefaultParagraphFont"/>
    <w:uiPriority w:val="99"/>
    <w:unhideWhenUsed/>
    <w:rsid w:val="006A219E"/>
    <w:rPr>
      <w:color w:val="0000FF" w:themeColor="hyperlink"/>
      <w:u w:val="single"/>
    </w:rPr>
  </w:style>
  <w:style w:type="paragraph" w:styleId="Header">
    <w:name w:val="header"/>
    <w:basedOn w:val="Normal"/>
    <w:link w:val="HeaderChar"/>
    <w:uiPriority w:val="99"/>
    <w:unhideWhenUsed/>
    <w:rsid w:val="00DE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2E3"/>
  </w:style>
  <w:style w:type="paragraph" w:styleId="Footer">
    <w:name w:val="footer"/>
    <w:basedOn w:val="Normal"/>
    <w:link w:val="FooterChar"/>
    <w:uiPriority w:val="99"/>
    <w:unhideWhenUsed/>
    <w:rsid w:val="00DE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2E3"/>
  </w:style>
  <w:style w:type="character" w:styleId="CommentReference">
    <w:name w:val="annotation reference"/>
    <w:basedOn w:val="DefaultParagraphFont"/>
    <w:uiPriority w:val="99"/>
    <w:semiHidden/>
    <w:unhideWhenUsed/>
    <w:rsid w:val="009904BF"/>
    <w:rPr>
      <w:sz w:val="16"/>
      <w:szCs w:val="16"/>
    </w:rPr>
  </w:style>
  <w:style w:type="paragraph" w:styleId="CommentText">
    <w:name w:val="annotation text"/>
    <w:basedOn w:val="Normal"/>
    <w:link w:val="CommentTextChar"/>
    <w:uiPriority w:val="99"/>
    <w:unhideWhenUsed/>
    <w:rsid w:val="009904BF"/>
    <w:pPr>
      <w:spacing w:line="240" w:lineRule="auto"/>
    </w:pPr>
    <w:rPr>
      <w:sz w:val="20"/>
      <w:szCs w:val="20"/>
    </w:rPr>
  </w:style>
  <w:style w:type="character" w:customStyle="1" w:styleId="CommentTextChar">
    <w:name w:val="Comment Text Char"/>
    <w:basedOn w:val="DefaultParagraphFont"/>
    <w:link w:val="CommentText"/>
    <w:uiPriority w:val="99"/>
    <w:rsid w:val="009904BF"/>
    <w:rPr>
      <w:sz w:val="20"/>
      <w:szCs w:val="20"/>
    </w:rPr>
  </w:style>
  <w:style w:type="paragraph" w:styleId="CommentSubject">
    <w:name w:val="annotation subject"/>
    <w:basedOn w:val="CommentText"/>
    <w:next w:val="CommentText"/>
    <w:link w:val="CommentSubjectChar"/>
    <w:uiPriority w:val="99"/>
    <w:semiHidden/>
    <w:unhideWhenUsed/>
    <w:rsid w:val="009904BF"/>
    <w:rPr>
      <w:b/>
      <w:bCs/>
    </w:rPr>
  </w:style>
  <w:style w:type="character" w:customStyle="1" w:styleId="CommentSubjectChar">
    <w:name w:val="Comment Subject Char"/>
    <w:basedOn w:val="CommentTextChar"/>
    <w:link w:val="CommentSubject"/>
    <w:uiPriority w:val="99"/>
    <w:semiHidden/>
    <w:rsid w:val="009904BF"/>
    <w:rPr>
      <w:b/>
      <w:bCs/>
      <w:sz w:val="20"/>
      <w:szCs w:val="20"/>
    </w:rPr>
  </w:style>
  <w:style w:type="paragraph" w:styleId="BalloonText">
    <w:name w:val="Balloon Text"/>
    <w:basedOn w:val="Normal"/>
    <w:link w:val="BalloonTextChar"/>
    <w:uiPriority w:val="99"/>
    <w:semiHidden/>
    <w:unhideWhenUsed/>
    <w:rsid w:val="00990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4BF"/>
    <w:rPr>
      <w:rFonts w:ascii="Tahoma" w:hAnsi="Tahoma" w:cs="Tahoma"/>
      <w:sz w:val="16"/>
      <w:szCs w:val="16"/>
    </w:rPr>
  </w:style>
  <w:style w:type="character" w:styleId="FollowedHyperlink">
    <w:name w:val="FollowedHyperlink"/>
    <w:basedOn w:val="DefaultParagraphFont"/>
    <w:uiPriority w:val="99"/>
    <w:semiHidden/>
    <w:unhideWhenUsed/>
    <w:rsid w:val="00ED22BD"/>
    <w:rPr>
      <w:color w:val="800080" w:themeColor="followedHyperlink"/>
      <w:u w:val="single"/>
    </w:rPr>
  </w:style>
  <w:style w:type="paragraph" w:styleId="FootnoteText">
    <w:name w:val="footnote text"/>
    <w:basedOn w:val="Normal"/>
    <w:link w:val="FootnoteTextChar"/>
    <w:uiPriority w:val="99"/>
    <w:unhideWhenUsed/>
    <w:rsid w:val="00862CD5"/>
    <w:pPr>
      <w:spacing w:after="0" w:line="240" w:lineRule="auto"/>
    </w:pPr>
    <w:rPr>
      <w:sz w:val="20"/>
      <w:szCs w:val="20"/>
    </w:rPr>
  </w:style>
  <w:style w:type="character" w:customStyle="1" w:styleId="FootnoteTextChar">
    <w:name w:val="Footnote Text Char"/>
    <w:basedOn w:val="DefaultParagraphFont"/>
    <w:link w:val="FootnoteText"/>
    <w:uiPriority w:val="99"/>
    <w:rsid w:val="00862CD5"/>
    <w:rPr>
      <w:sz w:val="20"/>
      <w:szCs w:val="20"/>
    </w:rPr>
  </w:style>
  <w:style w:type="character" w:styleId="FootnoteReference">
    <w:name w:val="footnote reference"/>
    <w:basedOn w:val="DefaultParagraphFont"/>
    <w:uiPriority w:val="99"/>
    <w:semiHidden/>
    <w:unhideWhenUsed/>
    <w:rsid w:val="00862CD5"/>
    <w:rPr>
      <w:vertAlign w:val="superscript"/>
    </w:rPr>
  </w:style>
  <w:style w:type="paragraph" w:styleId="Title">
    <w:name w:val="Title"/>
    <w:basedOn w:val="Normal"/>
    <w:next w:val="Normal"/>
    <w:link w:val="TitleChar"/>
    <w:uiPriority w:val="10"/>
    <w:qFormat/>
    <w:rsid w:val="008E1EFB"/>
    <w:pPr>
      <w:spacing w:after="0" w:line="240" w:lineRule="auto"/>
      <w:contextualSpacing/>
      <w:jc w:val="center"/>
    </w:pPr>
    <w:rPr>
      <w:rFonts w:eastAsiaTheme="majorEastAsia" w:cstheme="minorHAnsi"/>
      <w:b/>
      <w:spacing w:val="-10"/>
      <w:kern w:val="28"/>
      <w:sz w:val="40"/>
      <w:szCs w:val="56"/>
    </w:rPr>
  </w:style>
  <w:style w:type="character" w:customStyle="1" w:styleId="TitleChar">
    <w:name w:val="Title Char"/>
    <w:basedOn w:val="DefaultParagraphFont"/>
    <w:link w:val="Title"/>
    <w:uiPriority w:val="10"/>
    <w:rsid w:val="008E1EFB"/>
    <w:rPr>
      <w:rFonts w:eastAsiaTheme="majorEastAsia" w:cstheme="minorHAnsi"/>
      <w:b/>
      <w:spacing w:val="-10"/>
      <w:kern w:val="28"/>
      <w:sz w:val="40"/>
      <w:szCs w:val="56"/>
    </w:rPr>
  </w:style>
  <w:style w:type="character" w:customStyle="1" w:styleId="Heading1Char">
    <w:name w:val="Heading 1 Char"/>
    <w:basedOn w:val="DefaultParagraphFont"/>
    <w:link w:val="Heading1"/>
    <w:uiPriority w:val="9"/>
    <w:rsid w:val="008E1EFB"/>
    <w:rPr>
      <w:rFonts w:eastAsia="Times New Roman" w:cstheme="minorHAnsi"/>
      <w:b/>
      <w:sz w:val="36"/>
      <w:szCs w:val="32"/>
      <w:lang w:eastAsia="en-GB"/>
    </w:rPr>
  </w:style>
  <w:style w:type="character" w:customStyle="1" w:styleId="Heading2Char">
    <w:name w:val="Heading 2 Char"/>
    <w:basedOn w:val="DefaultParagraphFont"/>
    <w:link w:val="Heading2"/>
    <w:uiPriority w:val="9"/>
    <w:rsid w:val="008E1EFB"/>
    <w:rPr>
      <w:rFonts w:eastAsia="Times New Roman" w:cstheme="minorHAnsi"/>
      <w:b/>
      <w:sz w:val="28"/>
      <w:szCs w:val="26"/>
      <w:lang w:eastAsia="en-GB"/>
    </w:rPr>
  </w:style>
  <w:style w:type="character" w:customStyle="1" w:styleId="Heading3Char">
    <w:name w:val="Heading 3 Char"/>
    <w:basedOn w:val="DefaultParagraphFont"/>
    <w:link w:val="Heading3"/>
    <w:uiPriority w:val="9"/>
    <w:rsid w:val="0054403D"/>
    <w:rPr>
      <w:rFonts w:eastAsiaTheme="majorEastAsia" w:cstheme="minorHAnsi"/>
      <w:b/>
      <w:sz w:val="24"/>
      <w:szCs w:val="24"/>
    </w:rPr>
  </w:style>
  <w:style w:type="paragraph" w:styleId="NoSpacing">
    <w:name w:val="No Spacing"/>
    <w:uiPriority w:val="1"/>
    <w:qFormat/>
    <w:rsid w:val="009D0735"/>
    <w:pPr>
      <w:spacing w:after="0" w:line="240" w:lineRule="auto"/>
    </w:pPr>
    <w:rPr>
      <w:sz w:val="24"/>
    </w:rPr>
  </w:style>
  <w:style w:type="paragraph" w:styleId="Revision">
    <w:name w:val="Revision"/>
    <w:hidden/>
    <w:uiPriority w:val="99"/>
    <w:semiHidden/>
    <w:rsid w:val="0015508F"/>
    <w:pPr>
      <w:spacing w:after="0" w:line="240" w:lineRule="auto"/>
    </w:pPr>
    <w:rPr>
      <w:sz w:val="24"/>
    </w:rPr>
  </w:style>
  <w:style w:type="character" w:styleId="UnresolvedMention">
    <w:name w:val="Unresolved Mention"/>
    <w:basedOn w:val="DefaultParagraphFont"/>
    <w:uiPriority w:val="99"/>
    <w:semiHidden/>
    <w:unhideWhenUsed/>
    <w:rsid w:val="00195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86433">
      <w:bodyDiv w:val="1"/>
      <w:marLeft w:val="0"/>
      <w:marRight w:val="0"/>
      <w:marTop w:val="0"/>
      <w:marBottom w:val="0"/>
      <w:divBdr>
        <w:top w:val="none" w:sz="0" w:space="0" w:color="auto"/>
        <w:left w:val="none" w:sz="0" w:space="0" w:color="auto"/>
        <w:bottom w:val="none" w:sz="0" w:space="0" w:color="auto"/>
        <w:right w:val="none" w:sz="0" w:space="0" w:color="auto"/>
      </w:divBdr>
    </w:div>
    <w:div w:id="20469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dc.gov.uk/downloads/file/3577/matter_3_written_statement_-_supply_and_delivery_of_housing_land_-_warwick_district_council" TargetMode="External"/><Relationship Id="rId13" Type="http://schemas.openxmlformats.org/officeDocument/2006/relationships/hyperlink" Target="https://www.warwickdc.gov.uk/downloads/download/964/inspectors_report_fi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rwickdc.gov.uk/downloads/file/4131/exam_136_-_wdc_matter_3_submission_-_updated_tables_for_windfalls_pap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rwickdc.gov.uk/downloads/file/3347/ho29pm_-_local_plan_windfall_allowance_june_2016_fin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arwickdc.gov.uk/downloads/file/3577/matter_3_written_statement_-_supply_and_delivery_of_housing_land_-_warwick_district_council" TargetMode="External"/><Relationship Id="rId4" Type="http://schemas.openxmlformats.org/officeDocument/2006/relationships/settings" Target="settings.xml"/><Relationship Id="rId9" Type="http://schemas.openxmlformats.org/officeDocument/2006/relationships/hyperlink" Target="https://www.warwickdc.gov.uk/downloads/file/3577/matter_3_written_statement_-_supply_and_delivery_of_housing_land_-_warwick_district_counc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F79CA-DEF2-4BC1-8779-01BBE67A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Warwick District Council</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Barber</dc:creator>
  <cp:lastModifiedBy>Sarah Cleverley</cp:lastModifiedBy>
  <cp:revision>2</cp:revision>
  <cp:lastPrinted>2018-08-31T11:45:00Z</cp:lastPrinted>
  <dcterms:created xsi:type="dcterms:W3CDTF">2025-12-18T10:58:00Z</dcterms:created>
  <dcterms:modified xsi:type="dcterms:W3CDTF">2025-12-18T10:58:00Z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2022-12-02T13:43:31Z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0fb2b401-648a-42b6-b142-4d4f15a1261b</vt:lpwstr>
  </property>
  <property fmtid="{D5CDD505-2E9C-101B-9397-08002B2CF9AE}" pid="8" name="MSIP_Label_c6f64b5a-70e3-4d13-98dc-9c006fabbb8e_ContentBits">
    <vt:lpwstr>0</vt:lpwstr>
  </property>
</Properties>
</file>