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2C8D" w14:textId="2DC4D574" w:rsidR="003479A7" w:rsidRPr="003479A7" w:rsidRDefault="0087298E" w:rsidP="003479A7">
      <w:pPr>
        <w:pStyle w:val="Title"/>
      </w:pPr>
      <w:r w:rsidRPr="008E1EFB">
        <w:t>Warwick District Council</w:t>
      </w:r>
      <w:r w:rsidR="008E1EFB" w:rsidRPr="008E1EFB">
        <w:t xml:space="preserve"> </w:t>
      </w:r>
      <w:r w:rsidRPr="008E1EFB">
        <w:t>5 Year</w:t>
      </w:r>
      <w:r w:rsidR="004C1421" w:rsidRPr="008E1EFB">
        <w:t xml:space="preserve"> Housing</w:t>
      </w:r>
      <w:r w:rsidRPr="008E1EFB">
        <w:t xml:space="preserve"> Land Supply</w:t>
      </w:r>
    </w:p>
    <w:tbl>
      <w:tblPr>
        <w:tblW w:w="9371" w:type="dxa"/>
        <w:tblInd w:w="93" w:type="dxa"/>
        <w:tblLook w:val="04A0" w:firstRow="1" w:lastRow="0" w:firstColumn="1" w:lastColumn="0" w:noHBand="0" w:noVBand="1"/>
      </w:tblPr>
      <w:tblGrid>
        <w:gridCol w:w="720"/>
        <w:gridCol w:w="6837"/>
        <w:gridCol w:w="1814"/>
      </w:tblGrid>
      <w:tr w:rsidR="00C83D53" w:rsidRPr="0087298E" w14:paraId="5322E305" w14:textId="77777777" w:rsidTr="008E1EFB">
        <w:trPr>
          <w:trHeight w:val="655"/>
          <w:tblHeader/>
        </w:trPr>
        <w:tc>
          <w:tcPr>
            <w:tcW w:w="937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805D756" w14:textId="33E006DC" w:rsidR="00C83D53" w:rsidRPr="008E1EFB" w:rsidRDefault="004C1421" w:rsidP="008E1EFB">
            <w:pPr>
              <w:pStyle w:val="Heading1"/>
            </w:pPr>
            <w:r w:rsidRPr="008E1EFB">
              <w:t>5YHLS Calculations</w:t>
            </w:r>
            <w:r w:rsidR="00C83D53" w:rsidRPr="008E1EFB">
              <w:t xml:space="preserve"> 1st April </w:t>
            </w:r>
            <w:r w:rsidR="0015508F" w:rsidRPr="008E1EFB">
              <w:t>20</w:t>
            </w:r>
            <w:r w:rsidR="0015508F">
              <w:t>2</w:t>
            </w:r>
            <w:r w:rsidR="00E35FEE">
              <w:t>3</w:t>
            </w:r>
          </w:p>
        </w:tc>
      </w:tr>
      <w:tr w:rsidR="0087298E" w:rsidRPr="0087298E" w14:paraId="5194DE96" w14:textId="77777777" w:rsidTr="00E35FEE">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6C1C6A" w14:textId="77777777" w:rsidR="0087298E" w:rsidRPr="0087298E" w:rsidRDefault="0087298E" w:rsidP="0054403D">
            <w:pPr>
              <w:rPr>
                <w:lang w:eastAsia="en-GB"/>
              </w:rPr>
            </w:pPr>
          </w:p>
        </w:tc>
        <w:tc>
          <w:tcPr>
            <w:tcW w:w="6837" w:type="dxa"/>
            <w:tcBorders>
              <w:top w:val="single" w:sz="4" w:space="0" w:color="auto"/>
              <w:left w:val="nil"/>
              <w:bottom w:val="single" w:sz="4" w:space="0" w:color="auto"/>
              <w:right w:val="single" w:sz="4" w:space="0" w:color="auto"/>
            </w:tcBorders>
            <w:shd w:val="clear" w:color="auto" w:fill="auto"/>
            <w:noWrap/>
            <w:vAlign w:val="bottom"/>
          </w:tcPr>
          <w:p w14:paraId="5A8B1A66" w14:textId="3C4375BE" w:rsidR="0087298E" w:rsidRPr="0087298E" w:rsidRDefault="0087298E" w:rsidP="008E1EFB">
            <w:pPr>
              <w:pStyle w:val="Heading2"/>
            </w:pPr>
            <w:r w:rsidRPr="008E1EFB">
              <w:t>REQUIREMENT CALCULATIONS</w:t>
            </w:r>
          </w:p>
        </w:tc>
        <w:tc>
          <w:tcPr>
            <w:tcW w:w="1814" w:type="dxa"/>
            <w:tcBorders>
              <w:top w:val="single" w:sz="4" w:space="0" w:color="auto"/>
              <w:left w:val="nil"/>
              <w:bottom w:val="single" w:sz="4" w:space="0" w:color="auto"/>
              <w:right w:val="single" w:sz="4" w:space="0" w:color="auto"/>
            </w:tcBorders>
            <w:shd w:val="clear" w:color="auto" w:fill="auto"/>
            <w:noWrap/>
            <w:vAlign w:val="bottom"/>
          </w:tcPr>
          <w:p w14:paraId="258099B1" w14:textId="77777777" w:rsidR="0087298E" w:rsidRPr="0087298E" w:rsidRDefault="0087298E" w:rsidP="0054403D">
            <w:pPr>
              <w:rPr>
                <w:lang w:eastAsia="en-GB"/>
              </w:rPr>
            </w:pPr>
          </w:p>
        </w:tc>
      </w:tr>
      <w:tr w:rsidR="00C83D53" w:rsidRPr="0087298E" w14:paraId="6A84AC7E" w14:textId="77777777" w:rsidTr="007B6200">
        <w:trPr>
          <w:trHeight w:val="375"/>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2BFEAD" w14:textId="77777777" w:rsidR="00C83D53" w:rsidRPr="0087298E" w:rsidRDefault="00C83D53" w:rsidP="009D0735">
            <w:pPr>
              <w:pStyle w:val="NoSpacing"/>
              <w:rPr>
                <w:lang w:eastAsia="en-GB"/>
              </w:rPr>
            </w:pPr>
          </w:p>
        </w:tc>
        <w:tc>
          <w:tcPr>
            <w:tcW w:w="8651" w:type="dxa"/>
            <w:gridSpan w:val="2"/>
            <w:tcBorders>
              <w:top w:val="single" w:sz="4" w:space="0" w:color="auto"/>
              <w:left w:val="nil"/>
              <w:bottom w:val="single" w:sz="4" w:space="0" w:color="auto"/>
              <w:right w:val="single" w:sz="4" w:space="0" w:color="auto"/>
            </w:tcBorders>
            <w:shd w:val="clear" w:color="auto" w:fill="auto"/>
            <w:noWrap/>
            <w:vAlign w:val="bottom"/>
          </w:tcPr>
          <w:p w14:paraId="4DD6190D" w14:textId="77777777" w:rsidR="00C83D53" w:rsidRPr="00230417" w:rsidRDefault="00C83D53" w:rsidP="009D0735">
            <w:pPr>
              <w:pStyle w:val="NoSpacing"/>
              <w:rPr>
                <w:lang w:eastAsia="en-GB"/>
              </w:rPr>
            </w:pPr>
            <w:r w:rsidRPr="00230417">
              <w:rPr>
                <w:lang w:eastAsia="en-GB"/>
              </w:rPr>
              <w:t>Key inputs</w:t>
            </w:r>
          </w:p>
          <w:p w14:paraId="298BD846" w14:textId="77777777" w:rsidR="007B6200" w:rsidRDefault="00C83D53" w:rsidP="009D0735">
            <w:pPr>
              <w:pStyle w:val="NoSpacing"/>
              <w:numPr>
                <w:ilvl w:val="0"/>
                <w:numId w:val="19"/>
              </w:numPr>
              <w:rPr>
                <w:lang w:eastAsia="en-GB"/>
              </w:rPr>
            </w:pPr>
            <w:r w:rsidRPr="00230417">
              <w:rPr>
                <w:lang w:eastAsia="en-GB"/>
              </w:rPr>
              <w:t>5% buffer</w:t>
            </w:r>
          </w:p>
          <w:p w14:paraId="74F4B305" w14:textId="77777777" w:rsidR="00C83D53" w:rsidRPr="007B6200" w:rsidRDefault="00C83D53" w:rsidP="009D0735">
            <w:pPr>
              <w:pStyle w:val="NoSpacing"/>
              <w:numPr>
                <w:ilvl w:val="0"/>
                <w:numId w:val="19"/>
              </w:numPr>
              <w:rPr>
                <w:lang w:eastAsia="en-GB"/>
              </w:rPr>
            </w:pPr>
            <w:r w:rsidRPr="007B6200">
              <w:rPr>
                <w:lang w:eastAsia="en-GB"/>
              </w:rPr>
              <w:t>Staggered requirement as proposed in Local Plan Document Exam 134</w:t>
            </w:r>
          </w:p>
        </w:tc>
      </w:tr>
      <w:tr w:rsidR="0087298E" w:rsidRPr="0087298E" w14:paraId="36D04C5C"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EDA4A57" w14:textId="77777777" w:rsidR="0087298E" w:rsidRPr="0087298E" w:rsidRDefault="0087298E" w:rsidP="009D0735">
            <w:pPr>
              <w:pStyle w:val="NoSpacing"/>
              <w:rPr>
                <w:lang w:eastAsia="en-GB"/>
              </w:rPr>
            </w:pPr>
            <w:r w:rsidRPr="0087298E">
              <w:rPr>
                <w:lang w:eastAsia="en-GB"/>
              </w:rPr>
              <w:t>A</w:t>
            </w:r>
          </w:p>
        </w:tc>
        <w:tc>
          <w:tcPr>
            <w:tcW w:w="6837" w:type="dxa"/>
            <w:tcBorders>
              <w:top w:val="nil"/>
              <w:left w:val="nil"/>
              <w:bottom w:val="single" w:sz="4" w:space="0" w:color="auto"/>
              <w:right w:val="single" w:sz="4" w:space="0" w:color="auto"/>
            </w:tcBorders>
            <w:shd w:val="clear" w:color="auto" w:fill="auto"/>
            <w:noWrap/>
            <w:vAlign w:val="bottom"/>
            <w:hideMark/>
          </w:tcPr>
          <w:p w14:paraId="1762F361" w14:textId="77777777" w:rsidR="0087298E" w:rsidRPr="0087298E" w:rsidRDefault="0087298E" w:rsidP="009D0735">
            <w:pPr>
              <w:pStyle w:val="NoSpacing"/>
              <w:rPr>
                <w:lang w:eastAsia="en-GB"/>
              </w:rPr>
            </w:pPr>
            <w:r w:rsidRPr="0087298E">
              <w:rPr>
                <w:lang w:eastAsia="en-GB"/>
              </w:rPr>
              <w:t>A</w:t>
            </w:r>
            <w:r w:rsidR="00613847">
              <w:rPr>
                <w:lang w:eastAsia="en-GB"/>
              </w:rPr>
              <w:t>verage A</w:t>
            </w:r>
            <w:r w:rsidRPr="0087298E">
              <w:rPr>
                <w:lang w:eastAsia="en-GB"/>
              </w:rPr>
              <w:t>nnual Requirement 1/4/11 to 31/3/17</w:t>
            </w:r>
          </w:p>
        </w:tc>
        <w:tc>
          <w:tcPr>
            <w:tcW w:w="1814" w:type="dxa"/>
            <w:tcBorders>
              <w:top w:val="nil"/>
              <w:left w:val="nil"/>
              <w:bottom w:val="single" w:sz="4" w:space="0" w:color="auto"/>
              <w:right w:val="single" w:sz="4" w:space="0" w:color="auto"/>
            </w:tcBorders>
            <w:shd w:val="clear" w:color="auto" w:fill="auto"/>
            <w:noWrap/>
            <w:hideMark/>
          </w:tcPr>
          <w:p w14:paraId="4A1F88CF" w14:textId="77777777" w:rsidR="0087298E" w:rsidRPr="0087298E" w:rsidRDefault="0087298E" w:rsidP="00163354">
            <w:pPr>
              <w:pStyle w:val="NoSpacing"/>
              <w:jc w:val="right"/>
              <w:rPr>
                <w:lang w:eastAsia="en-GB"/>
              </w:rPr>
            </w:pPr>
            <w:r w:rsidRPr="0087298E">
              <w:rPr>
                <w:lang w:eastAsia="en-GB"/>
              </w:rPr>
              <w:t>600</w:t>
            </w:r>
          </w:p>
        </w:tc>
      </w:tr>
      <w:tr w:rsidR="0087298E" w:rsidRPr="0087298E" w14:paraId="59CF0F22"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00E331F" w14:textId="77777777" w:rsidR="0087298E" w:rsidRPr="0087298E" w:rsidRDefault="0087298E" w:rsidP="009D0735">
            <w:pPr>
              <w:pStyle w:val="NoSpacing"/>
              <w:rPr>
                <w:lang w:eastAsia="en-GB"/>
              </w:rPr>
            </w:pPr>
            <w:r w:rsidRPr="0087298E">
              <w:rPr>
                <w:lang w:eastAsia="en-GB"/>
              </w:rPr>
              <w:t>B</w:t>
            </w:r>
          </w:p>
        </w:tc>
        <w:tc>
          <w:tcPr>
            <w:tcW w:w="6837" w:type="dxa"/>
            <w:tcBorders>
              <w:top w:val="nil"/>
              <w:left w:val="nil"/>
              <w:bottom w:val="single" w:sz="4" w:space="0" w:color="auto"/>
              <w:right w:val="single" w:sz="4" w:space="0" w:color="auto"/>
            </w:tcBorders>
            <w:shd w:val="clear" w:color="auto" w:fill="auto"/>
            <w:noWrap/>
            <w:vAlign w:val="bottom"/>
            <w:hideMark/>
          </w:tcPr>
          <w:p w14:paraId="6BCC13F6" w14:textId="77777777" w:rsidR="0087298E" w:rsidRPr="0087298E" w:rsidRDefault="0087298E" w:rsidP="009D0735">
            <w:pPr>
              <w:pStyle w:val="NoSpacing"/>
              <w:rPr>
                <w:lang w:eastAsia="en-GB"/>
              </w:rPr>
            </w:pPr>
            <w:r w:rsidRPr="0087298E">
              <w:rPr>
                <w:lang w:eastAsia="en-GB"/>
              </w:rPr>
              <w:t>A</w:t>
            </w:r>
            <w:r w:rsidR="00613847">
              <w:rPr>
                <w:lang w:eastAsia="en-GB"/>
              </w:rPr>
              <w:t>verage A</w:t>
            </w:r>
            <w:r w:rsidRPr="0087298E">
              <w:rPr>
                <w:lang w:eastAsia="en-GB"/>
              </w:rPr>
              <w:t>nnual Requirement 1/4/17 to 31/3/29</w:t>
            </w:r>
          </w:p>
        </w:tc>
        <w:tc>
          <w:tcPr>
            <w:tcW w:w="1814" w:type="dxa"/>
            <w:tcBorders>
              <w:top w:val="nil"/>
              <w:left w:val="nil"/>
              <w:bottom w:val="single" w:sz="4" w:space="0" w:color="auto"/>
              <w:right w:val="single" w:sz="4" w:space="0" w:color="auto"/>
            </w:tcBorders>
            <w:shd w:val="clear" w:color="auto" w:fill="auto"/>
            <w:noWrap/>
            <w:hideMark/>
          </w:tcPr>
          <w:p w14:paraId="0F26AD32" w14:textId="77777777" w:rsidR="0087298E" w:rsidRPr="0087298E" w:rsidRDefault="0087298E" w:rsidP="00163354">
            <w:pPr>
              <w:pStyle w:val="NoSpacing"/>
              <w:jc w:val="right"/>
              <w:rPr>
                <w:lang w:eastAsia="en-GB"/>
              </w:rPr>
            </w:pPr>
            <w:r w:rsidRPr="0087298E">
              <w:rPr>
                <w:lang w:eastAsia="en-GB"/>
              </w:rPr>
              <w:t>1</w:t>
            </w:r>
            <w:r w:rsidR="00613847">
              <w:rPr>
                <w:lang w:eastAsia="en-GB"/>
              </w:rPr>
              <w:t>,</w:t>
            </w:r>
            <w:r w:rsidRPr="0087298E">
              <w:rPr>
                <w:lang w:eastAsia="en-GB"/>
              </w:rPr>
              <w:t>098</w:t>
            </w:r>
          </w:p>
        </w:tc>
      </w:tr>
      <w:tr w:rsidR="0087298E" w:rsidRPr="0087298E" w14:paraId="53D95499"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77847F7D" w14:textId="77777777" w:rsidR="0087298E" w:rsidRPr="0087298E" w:rsidRDefault="0087298E" w:rsidP="009D0735">
            <w:pPr>
              <w:pStyle w:val="NoSpacing"/>
              <w:rPr>
                <w:lang w:eastAsia="en-GB"/>
              </w:rPr>
            </w:pPr>
            <w:r w:rsidRPr="0087298E">
              <w:rPr>
                <w:lang w:eastAsia="en-GB"/>
              </w:rPr>
              <w:t>C</w:t>
            </w:r>
          </w:p>
        </w:tc>
        <w:tc>
          <w:tcPr>
            <w:tcW w:w="6837" w:type="dxa"/>
            <w:tcBorders>
              <w:top w:val="nil"/>
              <w:left w:val="nil"/>
              <w:bottom w:val="single" w:sz="4" w:space="0" w:color="auto"/>
              <w:right w:val="single" w:sz="4" w:space="0" w:color="auto"/>
            </w:tcBorders>
            <w:shd w:val="clear" w:color="auto" w:fill="auto"/>
            <w:noWrap/>
            <w:vAlign w:val="bottom"/>
            <w:hideMark/>
          </w:tcPr>
          <w:p w14:paraId="311BCD15" w14:textId="3104D90D" w:rsidR="0087298E" w:rsidRPr="0087298E" w:rsidRDefault="0087298E" w:rsidP="004450EC">
            <w:pPr>
              <w:pStyle w:val="NoSpacing"/>
              <w:rPr>
                <w:lang w:eastAsia="en-GB"/>
              </w:rPr>
            </w:pPr>
            <w:r w:rsidRPr="0087298E">
              <w:rPr>
                <w:lang w:eastAsia="en-GB"/>
              </w:rPr>
              <w:t xml:space="preserve">Requirement </w:t>
            </w:r>
            <w:r w:rsidR="00613847">
              <w:rPr>
                <w:lang w:eastAsia="en-GB"/>
              </w:rPr>
              <w:t>to date (</w:t>
            </w:r>
            <w:r w:rsidRPr="0087298E">
              <w:rPr>
                <w:lang w:eastAsia="en-GB"/>
              </w:rPr>
              <w:t>1/4/11 to 31/3/</w:t>
            </w:r>
            <w:r w:rsidR="0015508F">
              <w:rPr>
                <w:lang w:eastAsia="en-GB"/>
              </w:rPr>
              <w:t>2</w:t>
            </w:r>
            <w:r w:rsidR="00DD3659">
              <w:rPr>
                <w:lang w:eastAsia="en-GB"/>
              </w:rPr>
              <w:t>3</w:t>
            </w:r>
            <w:r w:rsidRPr="0087298E">
              <w:rPr>
                <w:lang w:eastAsia="en-GB"/>
              </w:rPr>
              <w:t>)</w:t>
            </w:r>
          </w:p>
        </w:tc>
        <w:tc>
          <w:tcPr>
            <w:tcW w:w="1814" w:type="dxa"/>
            <w:tcBorders>
              <w:top w:val="nil"/>
              <w:left w:val="nil"/>
              <w:bottom w:val="single" w:sz="4" w:space="0" w:color="auto"/>
              <w:right w:val="single" w:sz="4" w:space="0" w:color="auto"/>
            </w:tcBorders>
            <w:shd w:val="clear" w:color="auto" w:fill="auto"/>
            <w:noWrap/>
            <w:hideMark/>
          </w:tcPr>
          <w:p w14:paraId="12975D0C" w14:textId="476CC661" w:rsidR="0087298E" w:rsidRPr="0087298E" w:rsidRDefault="00DD3659" w:rsidP="00163354">
            <w:pPr>
              <w:pStyle w:val="NoSpacing"/>
              <w:jc w:val="right"/>
              <w:rPr>
                <w:lang w:eastAsia="en-GB"/>
              </w:rPr>
            </w:pPr>
            <w:r>
              <w:rPr>
                <w:lang w:eastAsia="en-GB"/>
              </w:rPr>
              <w:t>10,188</w:t>
            </w:r>
          </w:p>
        </w:tc>
      </w:tr>
      <w:tr w:rsidR="0087298E" w:rsidRPr="0087298E" w14:paraId="276AF458"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538F571C" w14:textId="77777777" w:rsidR="0087298E" w:rsidRPr="0087298E" w:rsidRDefault="0087298E" w:rsidP="009D0735">
            <w:pPr>
              <w:pStyle w:val="NoSpacing"/>
              <w:rPr>
                <w:lang w:eastAsia="en-GB"/>
              </w:rPr>
            </w:pPr>
            <w:r w:rsidRPr="0087298E">
              <w:rPr>
                <w:lang w:eastAsia="en-GB"/>
              </w:rPr>
              <w:t>D</w:t>
            </w:r>
          </w:p>
        </w:tc>
        <w:tc>
          <w:tcPr>
            <w:tcW w:w="6837" w:type="dxa"/>
            <w:tcBorders>
              <w:top w:val="nil"/>
              <w:left w:val="nil"/>
              <w:bottom w:val="single" w:sz="4" w:space="0" w:color="auto"/>
              <w:right w:val="single" w:sz="4" w:space="0" w:color="auto"/>
            </w:tcBorders>
            <w:shd w:val="clear" w:color="auto" w:fill="auto"/>
            <w:noWrap/>
            <w:vAlign w:val="bottom"/>
            <w:hideMark/>
          </w:tcPr>
          <w:p w14:paraId="3D0DABBB" w14:textId="45C2F6B9" w:rsidR="0087298E" w:rsidRPr="0087298E" w:rsidRDefault="00613847" w:rsidP="009D0735">
            <w:pPr>
              <w:pStyle w:val="NoSpacing"/>
              <w:rPr>
                <w:lang w:eastAsia="en-GB"/>
              </w:rPr>
            </w:pPr>
            <w:r>
              <w:rPr>
                <w:lang w:eastAsia="en-GB"/>
              </w:rPr>
              <w:t>Completions to date (</w:t>
            </w:r>
            <w:r w:rsidR="0087298E" w:rsidRPr="0087298E">
              <w:rPr>
                <w:lang w:eastAsia="en-GB"/>
              </w:rPr>
              <w:t>1/4/11 to 31/3/</w:t>
            </w:r>
            <w:r w:rsidR="0015508F">
              <w:rPr>
                <w:lang w:eastAsia="en-GB"/>
              </w:rPr>
              <w:t>22</w:t>
            </w:r>
            <w:r>
              <w:rPr>
                <w:lang w:eastAsia="en-GB"/>
              </w:rPr>
              <w:t>)</w:t>
            </w:r>
          </w:p>
        </w:tc>
        <w:tc>
          <w:tcPr>
            <w:tcW w:w="1814" w:type="dxa"/>
            <w:tcBorders>
              <w:top w:val="nil"/>
              <w:left w:val="nil"/>
              <w:bottom w:val="single" w:sz="4" w:space="0" w:color="auto"/>
              <w:right w:val="single" w:sz="4" w:space="0" w:color="auto"/>
            </w:tcBorders>
            <w:shd w:val="clear" w:color="auto" w:fill="auto"/>
            <w:noWrap/>
            <w:hideMark/>
          </w:tcPr>
          <w:p w14:paraId="5082079D" w14:textId="1F65C006" w:rsidR="0087298E" w:rsidRPr="0087298E" w:rsidRDefault="00DD3659" w:rsidP="00163354">
            <w:pPr>
              <w:pStyle w:val="NoSpacing"/>
              <w:jc w:val="right"/>
              <w:rPr>
                <w:lang w:eastAsia="en-GB"/>
              </w:rPr>
            </w:pPr>
            <w:r>
              <w:rPr>
                <w:lang w:eastAsia="en-GB"/>
              </w:rPr>
              <w:t>9,249</w:t>
            </w:r>
          </w:p>
        </w:tc>
      </w:tr>
      <w:tr w:rsidR="0087298E" w:rsidRPr="0087298E" w14:paraId="2C851145"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4D2C936F" w14:textId="77777777" w:rsidR="0087298E" w:rsidRPr="0087298E" w:rsidRDefault="001509AD" w:rsidP="009D0735">
            <w:pPr>
              <w:pStyle w:val="NoSpacing"/>
              <w:rPr>
                <w:lang w:eastAsia="en-GB"/>
              </w:rPr>
            </w:pPr>
            <w:r>
              <w:rPr>
                <w:lang w:eastAsia="en-GB"/>
              </w:rPr>
              <w:t>E</w:t>
            </w:r>
          </w:p>
        </w:tc>
        <w:tc>
          <w:tcPr>
            <w:tcW w:w="6837" w:type="dxa"/>
            <w:tcBorders>
              <w:top w:val="nil"/>
              <w:left w:val="nil"/>
              <w:bottom w:val="single" w:sz="4" w:space="0" w:color="auto"/>
              <w:right w:val="single" w:sz="4" w:space="0" w:color="auto"/>
            </w:tcBorders>
            <w:shd w:val="clear" w:color="auto" w:fill="auto"/>
            <w:noWrap/>
            <w:vAlign w:val="bottom"/>
            <w:hideMark/>
          </w:tcPr>
          <w:p w14:paraId="4220DD65" w14:textId="77777777" w:rsidR="0087298E" w:rsidRPr="0087298E" w:rsidRDefault="00613847" w:rsidP="009D0735">
            <w:pPr>
              <w:pStyle w:val="NoSpacing"/>
              <w:rPr>
                <w:lang w:eastAsia="en-GB"/>
              </w:rPr>
            </w:pPr>
            <w:r>
              <w:rPr>
                <w:lang w:eastAsia="en-GB"/>
              </w:rPr>
              <w:t>Unmet requirement to date: requirement minus completions</w:t>
            </w:r>
            <w:r w:rsidR="0087298E" w:rsidRPr="0087298E">
              <w:rPr>
                <w:lang w:eastAsia="en-GB"/>
              </w:rPr>
              <w:t xml:space="preserve"> (C -D)</w:t>
            </w:r>
          </w:p>
        </w:tc>
        <w:tc>
          <w:tcPr>
            <w:tcW w:w="1814" w:type="dxa"/>
            <w:tcBorders>
              <w:top w:val="nil"/>
              <w:left w:val="nil"/>
              <w:bottom w:val="single" w:sz="4" w:space="0" w:color="auto"/>
              <w:right w:val="single" w:sz="4" w:space="0" w:color="auto"/>
            </w:tcBorders>
            <w:shd w:val="clear" w:color="auto" w:fill="auto"/>
            <w:noWrap/>
            <w:hideMark/>
          </w:tcPr>
          <w:p w14:paraId="01DA3DE4" w14:textId="5FB5C810" w:rsidR="0087298E" w:rsidRPr="0087298E" w:rsidRDefault="00DD3659" w:rsidP="00163354">
            <w:pPr>
              <w:pStyle w:val="NoSpacing"/>
              <w:jc w:val="right"/>
              <w:rPr>
                <w:lang w:eastAsia="en-GB"/>
              </w:rPr>
            </w:pPr>
            <w:r>
              <w:rPr>
                <w:lang w:eastAsia="en-GB"/>
              </w:rPr>
              <w:t>939</w:t>
            </w:r>
          </w:p>
        </w:tc>
      </w:tr>
      <w:tr w:rsidR="0087298E" w:rsidRPr="0087298E" w14:paraId="0FA087E4"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07F45BD0" w14:textId="77777777" w:rsidR="0087298E" w:rsidRPr="0087298E" w:rsidRDefault="001509AD" w:rsidP="009D0735">
            <w:pPr>
              <w:pStyle w:val="NoSpacing"/>
              <w:rPr>
                <w:lang w:eastAsia="en-GB"/>
              </w:rPr>
            </w:pPr>
            <w:r>
              <w:rPr>
                <w:lang w:eastAsia="en-GB"/>
              </w:rPr>
              <w:t>F</w:t>
            </w:r>
          </w:p>
        </w:tc>
        <w:tc>
          <w:tcPr>
            <w:tcW w:w="6837" w:type="dxa"/>
            <w:tcBorders>
              <w:top w:val="nil"/>
              <w:left w:val="nil"/>
              <w:bottom w:val="single" w:sz="4" w:space="0" w:color="auto"/>
              <w:right w:val="single" w:sz="4" w:space="0" w:color="auto"/>
            </w:tcBorders>
            <w:shd w:val="clear" w:color="auto" w:fill="auto"/>
            <w:noWrap/>
            <w:vAlign w:val="bottom"/>
            <w:hideMark/>
          </w:tcPr>
          <w:p w14:paraId="4472F994" w14:textId="04B4DC9D" w:rsidR="0087298E" w:rsidRPr="00DE32E3" w:rsidRDefault="00862CD5" w:rsidP="004450EC">
            <w:pPr>
              <w:pStyle w:val="NoSpacing"/>
              <w:rPr>
                <w:lang w:eastAsia="en-GB"/>
              </w:rPr>
            </w:pPr>
            <w:r>
              <w:rPr>
                <w:lang w:eastAsia="en-GB"/>
              </w:rPr>
              <w:t>Cumulative a</w:t>
            </w:r>
            <w:r w:rsidR="00613847">
              <w:rPr>
                <w:lang w:eastAsia="en-GB"/>
              </w:rPr>
              <w:t xml:space="preserve">verage annual requirement next </w:t>
            </w:r>
            <w:r w:rsidR="0087298E" w:rsidRPr="00DE32E3">
              <w:rPr>
                <w:lang w:eastAsia="en-GB"/>
              </w:rPr>
              <w:t>5 year</w:t>
            </w:r>
            <w:r w:rsidR="00613847">
              <w:rPr>
                <w:lang w:eastAsia="en-GB"/>
              </w:rPr>
              <w:t>s</w:t>
            </w:r>
            <w:r w:rsidR="004E7210">
              <w:rPr>
                <w:rStyle w:val="FootnoteReference"/>
                <w:lang w:eastAsia="en-GB"/>
              </w:rPr>
              <w:footnoteReference w:id="1"/>
            </w:r>
            <w:r w:rsidR="0087298E" w:rsidRPr="00DE32E3">
              <w:rPr>
                <w:lang w:eastAsia="en-GB"/>
              </w:rPr>
              <w:t xml:space="preserve"> </w:t>
            </w:r>
            <w:r w:rsidR="00613847">
              <w:rPr>
                <w:lang w:eastAsia="en-GB"/>
              </w:rPr>
              <w:t>(</w:t>
            </w:r>
            <w:r w:rsidR="0087298E" w:rsidRPr="00DE32E3">
              <w:rPr>
                <w:lang w:eastAsia="en-GB"/>
              </w:rPr>
              <w:t>1/4/</w:t>
            </w:r>
            <w:r w:rsidR="0015508F">
              <w:rPr>
                <w:lang w:eastAsia="en-GB"/>
              </w:rPr>
              <w:t>2</w:t>
            </w:r>
            <w:r w:rsidR="00C82658">
              <w:rPr>
                <w:lang w:eastAsia="en-GB"/>
              </w:rPr>
              <w:t>3</w:t>
            </w:r>
            <w:r w:rsidR="0015508F" w:rsidRPr="00DE32E3">
              <w:rPr>
                <w:lang w:eastAsia="en-GB"/>
              </w:rPr>
              <w:t xml:space="preserve"> </w:t>
            </w:r>
            <w:r w:rsidR="0087298E" w:rsidRPr="00DE32E3">
              <w:rPr>
                <w:lang w:eastAsia="en-GB"/>
              </w:rPr>
              <w:t>to 31/3/</w:t>
            </w:r>
            <w:r w:rsidR="0015508F" w:rsidRPr="00DE32E3">
              <w:rPr>
                <w:lang w:eastAsia="en-GB"/>
              </w:rPr>
              <w:t>2</w:t>
            </w:r>
            <w:r w:rsidR="00C82658">
              <w:rPr>
                <w:lang w:eastAsia="en-GB"/>
              </w:rPr>
              <w:t>8</w:t>
            </w:r>
            <w:r w:rsidR="00613847">
              <w:rPr>
                <w:lang w:eastAsia="en-GB"/>
              </w:rPr>
              <w:t>)</w:t>
            </w:r>
            <w:r w:rsidR="0087298E" w:rsidRPr="00DE32E3">
              <w:rPr>
                <w:lang w:eastAsia="en-GB"/>
              </w:rPr>
              <w:t xml:space="preserve"> </w:t>
            </w:r>
          </w:p>
        </w:tc>
        <w:tc>
          <w:tcPr>
            <w:tcW w:w="1814" w:type="dxa"/>
            <w:tcBorders>
              <w:top w:val="nil"/>
              <w:left w:val="nil"/>
              <w:bottom w:val="single" w:sz="4" w:space="0" w:color="auto"/>
              <w:right w:val="single" w:sz="4" w:space="0" w:color="auto"/>
            </w:tcBorders>
            <w:shd w:val="clear" w:color="auto" w:fill="auto"/>
            <w:noWrap/>
            <w:hideMark/>
          </w:tcPr>
          <w:p w14:paraId="09DD7364" w14:textId="2589E1CB" w:rsidR="0087298E" w:rsidRPr="00DE32E3" w:rsidRDefault="00DD3659" w:rsidP="00163354">
            <w:pPr>
              <w:pStyle w:val="NoSpacing"/>
              <w:jc w:val="right"/>
              <w:rPr>
                <w:lang w:eastAsia="en-GB"/>
              </w:rPr>
            </w:pPr>
            <w:r>
              <w:rPr>
                <w:lang w:eastAsia="en-GB"/>
              </w:rPr>
              <w:t>3,350</w:t>
            </w:r>
          </w:p>
        </w:tc>
      </w:tr>
      <w:tr w:rsidR="0087298E" w:rsidRPr="0087298E" w14:paraId="6A21FF02"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C89F106" w14:textId="77777777" w:rsidR="0087298E" w:rsidRPr="0087298E" w:rsidRDefault="001509AD" w:rsidP="009D0735">
            <w:pPr>
              <w:pStyle w:val="NoSpacing"/>
              <w:rPr>
                <w:lang w:eastAsia="en-GB"/>
              </w:rPr>
            </w:pPr>
            <w:r>
              <w:rPr>
                <w:lang w:eastAsia="en-GB"/>
              </w:rPr>
              <w:t>G</w:t>
            </w:r>
          </w:p>
        </w:tc>
        <w:tc>
          <w:tcPr>
            <w:tcW w:w="6837" w:type="dxa"/>
            <w:tcBorders>
              <w:top w:val="nil"/>
              <w:left w:val="nil"/>
              <w:bottom w:val="single" w:sz="4" w:space="0" w:color="auto"/>
              <w:right w:val="single" w:sz="4" w:space="0" w:color="auto"/>
            </w:tcBorders>
            <w:shd w:val="clear" w:color="auto" w:fill="auto"/>
            <w:noWrap/>
            <w:vAlign w:val="bottom"/>
            <w:hideMark/>
          </w:tcPr>
          <w:p w14:paraId="72F039AF" w14:textId="77777777" w:rsidR="0087298E" w:rsidRPr="0087298E" w:rsidRDefault="00613847" w:rsidP="009D0735">
            <w:pPr>
              <w:pStyle w:val="NoSpacing"/>
              <w:rPr>
                <w:lang w:eastAsia="en-GB"/>
              </w:rPr>
            </w:pPr>
            <w:r>
              <w:rPr>
                <w:lang w:eastAsia="en-GB"/>
              </w:rPr>
              <w:t>Ad</w:t>
            </w:r>
            <w:r w:rsidRPr="00035682">
              <w:rPr>
                <w:lang w:eastAsia="en-GB"/>
              </w:rPr>
              <w:t>just</w:t>
            </w:r>
            <w:r>
              <w:rPr>
                <w:lang w:eastAsia="en-GB"/>
              </w:rPr>
              <w:t xml:space="preserve">ed requirement: </w:t>
            </w:r>
            <w:r w:rsidR="001509AD">
              <w:rPr>
                <w:lang w:eastAsia="en-GB"/>
              </w:rPr>
              <w:t xml:space="preserve">unmet requirement to date plus </w:t>
            </w:r>
            <w:r>
              <w:rPr>
                <w:lang w:eastAsia="en-GB"/>
              </w:rPr>
              <w:t xml:space="preserve">requirement next 5 years </w:t>
            </w:r>
            <w:r w:rsidR="0087298E" w:rsidRPr="0087298E">
              <w:rPr>
                <w:lang w:eastAsia="en-GB"/>
              </w:rPr>
              <w:t>(</w:t>
            </w:r>
            <w:r w:rsidR="001509AD">
              <w:rPr>
                <w:lang w:eastAsia="en-GB"/>
              </w:rPr>
              <w:t>E</w:t>
            </w:r>
            <w:r w:rsidR="0087298E" w:rsidRPr="0087298E">
              <w:rPr>
                <w:lang w:eastAsia="en-GB"/>
              </w:rPr>
              <w:t xml:space="preserve"> + </w:t>
            </w:r>
            <w:r w:rsidR="001509AD">
              <w:rPr>
                <w:lang w:eastAsia="en-GB"/>
              </w:rPr>
              <w:t>F</w:t>
            </w:r>
            <w:r w:rsidR="0087298E" w:rsidRPr="0087298E">
              <w:rPr>
                <w:lang w:eastAsia="en-GB"/>
              </w:rPr>
              <w:t>)</w:t>
            </w:r>
          </w:p>
        </w:tc>
        <w:tc>
          <w:tcPr>
            <w:tcW w:w="1814" w:type="dxa"/>
            <w:tcBorders>
              <w:top w:val="nil"/>
              <w:left w:val="nil"/>
              <w:bottom w:val="single" w:sz="4" w:space="0" w:color="auto"/>
              <w:right w:val="single" w:sz="4" w:space="0" w:color="auto"/>
            </w:tcBorders>
            <w:shd w:val="clear" w:color="auto" w:fill="auto"/>
            <w:noWrap/>
            <w:hideMark/>
          </w:tcPr>
          <w:p w14:paraId="04E1EBDC" w14:textId="613CE02D" w:rsidR="0087298E" w:rsidRPr="0087298E" w:rsidRDefault="00DD3659" w:rsidP="00163354">
            <w:pPr>
              <w:pStyle w:val="NoSpacing"/>
              <w:jc w:val="right"/>
              <w:rPr>
                <w:lang w:eastAsia="en-GB"/>
              </w:rPr>
            </w:pPr>
            <w:r>
              <w:rPr>
                <w:lang w:eastAsia="en-GB"/>
              </w:rPr>
              <w:t>4,289</w:t>
            </w:r>
          </w:p>
        </w:tc>
      </w:tr>
      <w:tr w:rsidR="0087298E" w:rsidRPr="0087298E" w14:paraId="188DF5E3"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540D063" w14:textId="77777777" w:rsidR="0087298E" w:rsidRPr="0087298E" w:rsidRDefault="001509AD" w:rsidP="009D0735">
            <w:pPr>
              <w:pStyle w:val="NoSpacing"/>
              <w:rPr>
                <w:lang w:eastAsia="en-GB"/>
              </w:rPr>
            </w:pPr>
            <w:r>
              <w:rPr>
                <w:lang w:eastAsia="en-GB"/>
              </w:rPr>
              <w:t>H</w:t>
            </w:r>
          </w:p>
        </w:tc>
        <w:tc>
          <w:tcPr>
            <w:tcW w:w="6837" w:type="dxa"/>
            <w:tcBorders>
              <w:top w:val="nil"/>
              <w:left w:val="nil"/>
              <w:bottom w:val="single" w:sz="4" w:space="0" w:color="auto"/>
              <w:right w:val="single" w:sz="4" w:space="0" w:color="auto"/>
            </w:tcBorders>
            <w:shd w:val="clear" w:color="auto" w:fill="auto"/>
            <w:noWrap/>
            <w:vAlign w:val="bottom"/>
            <w:hideMark/>
          </w:tcPr>
          <w:p w14:paraId="12872595" w14:textId="77777777" w:rsidR="0087298E" w:rsidRPr="0087298E" w:rsidRDefault="0087298E" w:rsidP="009D0735">
            <w:pPr>
              <w:pStyle w:val="NoSpacing"/>
              <w:rPr>
                <w:lang w:eastAsia="en-GB"/>
              </w:rPr>
            </w:pPr>
            <w:r w:rsidRPr="0087298E">
              <w:rPr>
                <w:lang w:eastAsia="en-GB"/>
              </w:rPr>
              <w:t>5% Buffer</w:t>
            </w:r>
            <w:r w:rsidR="00B71C81">
              <w:rPr>
                <w:lang w:eastAsia="en-GB"/>
              </w:rPr>
              <w:t xml:space="preserve"> (G x 5%)</w:t>
            </w:r>
          </w:p>
        </w:tc>
        <w:tc>
          <w:tcPr>
            <w:tcW w:w="1814" w:type="dxa"/>
            <w:tcBorders>
              <w:top w:val="nil"/>
              <w:left w:val="nil"/>
              <w:bottom w:val="single" w:sz="4" w:space="0" w:color="auto"/>
              <w:right w:val="single" w:sz="4" w:space="0" w:color="auto"/>
            </w:tcBorders>
            <w:shd w:val="clear" w:color="auto" w:fill="auto"/>
            <w:noWrap/>
            <w:hideMark/>
          </w:tcPr>
          <w:p w14:paraId="65B980C5" w14:textId="59C0B588" w:rsidR="0087298E" w:rsidRPr="0087298E" w:rsidRDefault="00DD3659" w:rsidP="004450EC">
            <w:pPr>
              <w:pStyle w:val="NoSpacing"/>
              <w:jc w:val="right"/>
              <w:rPr>
                <w:lang w:eastAsia="en-GB"/>
              </w:rPr>
            </w:pPr>
            <w:r>
              <w:rPr>
                <w:lang w:eastAsia="en-GB"/>
              </w:rPr>
              <w:t>214</w:t>
            </w:r>
          </w:p>
        </w:tc>
      </w:tr>
      <w:tr w:rsidR="0087298E" w:rsidRPr="0087298E" w14:paraId="6686ED4D"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191EC3A8" w14:textId="77777777" w:rsidR="0087298E" w:rsidRPr="0087298E" w:rsidRDefault="001509AD" w:rsidP="009D0735">
            <w:pPr>
              <w:pStyle w:val="NoSpacing"/>
              <w:rPr>
                <w:lang w:eastAsia="en-GB"/>
              </w:rPr>
            </w:pPr>
            <w:r>
              <w:rPr>
                <w:lang w:eastAsia="en-GB"/>
              </w:rPr>
              <w:t>I</w:t>
            </w:r>
          </w:p>
        </w:tc>
        <w:tc>
          <w:tcPr>
            <w:tcW w:w="6837" w:type="dxa"/>
            <w:tcBorders>
              <w:top w:val="nil"/>
              <w:left w:val="nil"/>
              <w:bottom w:val="single" w:sz="4" w:space="0" w:color="auto"/>
              <w:right w:val="single" w:sz="4" w:space="0" w:color="auto"/>
            </w:tcBorders>
            <w:shd w:val="clear" w:color="auto" w:fill="auto"/>
            <w:noWrap/>
            <w:vAlign w:val="bottom"/>
            <w:hideMark/>
          </w:tcPr>
          <w:p w14:paraId="4C44D4BB" w14:textId="77777777" w:rsidR="0087298E" w:rsidRPr="0087298E" w:rsidRDefault="0087298E" w:rsidP="009D0735">
            <w:pPr>
              <w:pStyle w:val="NoSpacing"/>
              <w:rPr>
                <w:lang w:eastAsia="en-GB"/>
              </w:rPr>
            </w:pPr>
            <w:r w:rsidRPr="009D0735">
              <w:rPr>
                <w:b/>
                <w:lang w:eastAsia="en-GB"/>
              </w:rPr>
              <w:t>TOTAL 5 YEAR REQUIREMENT</w:t>
            </w:r>
            <w:r w:rsidRPr="0087298E">
              <w:rPr>
                <w:lang w:eastAsia="en-GB"/>
              </w:rPr>
              <w:t xml:space="preserve"> </w:t>
            </w:r>
            <w:r w:rsidRPr="00613847">
              <w:rPr>
                <w:lang w:eastAsia="en-GB"/>
              </w:rPr>
              <w:t>(</w:t>
            </w:r>
            <w:r w:rsidR="001509AD">
              <w:rPr>
                <w:lang w:eastAsia="en-GB"/>
              </w:rPr>
              <w:t>G</w:t>
            </w:r>
            <w:r w:rsidRPr="00613847">
              <w:rPr>
                <w:lang w:eastAsia="en-GB"/>
              </w:rPr>
              <w:t xml:space="preserve"> +</w:t>
            </w:r>
            <w:r w:rsidR="00B71C81">
              <w:rPr>
                <w:lang w:eastAsia="en-GB"/>
              </w:rPr>
              <w:t xml:space="preserve"> </w:t>
            </w:r>
            <w:r w:rsidR="001509AD">
              <w:rPr>
                <w:lang w:eastAsia="en-GB"/>
              </w:rPr>
              <w:t>H</w:t>
            </w:r>
            <w:r w:rsidRPr="00613847">
              <w:rPr>
                <w:lang w:eastAsia="en-GB"/>
              </w:rPr>
              <w:t>)</w:t>
            </w:r>
          </w:p>
        </w:tc>
        <w:tc>
          <w:tcPr>
            <w:tcW w:w="1814" w:type="dxa"/>
            <w:tcBorders>
              <w:top w:val="nil"/>
              <w:left w:val="nil"/>
              <w:bottom w:val="single" w:sz="4" w:space="0" w:color="auto"/>
              <w:right w:val="single" w:sz="4" w:space="0" w:color="auto"/>
            </w:tcBorders>
            <w:shd w:val="clear" w:color="auto" w:fill="auto"/>
            <w:noWrap/>
            <w:hideMark/>
          </w:tcPr>
          <w:p w14:paraId="07A1D577" w14:textId="20A25C01" w:rsidR="0087298E" w:rsidRPr="009D0735" w:rsidRDefault="00DD3659" w:rsidP="004450EC">
            <w:pPr>
              <w:pStyle w:val="NoSpacing"/>
              <w:jc w:val="right"/>
              <w:rPr>
                <w:b/>
                <w:lang w:eastAsia="en-GB"/>
              </w:rPr>
            </w:pPr>
            <w:r>
              <w:rPr>
                <w:b/>
                <w:lang w:eastAsia="en-GB"/>
              </w:rPr>
              <w:t>4,503</w:t>
            </w:r>
          </w:p>
        </w:tc>
      </w:tr>
      <w:tr w:rsidR="0087298E" w:rsidRPr="0087298E" w14:paraId="63C9502D"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14A9037" w14:textId="77777777" w:rsidR="0087298E" w:rsidRPr="0087298E" w:rsidRDefault="001509AD" w:rsidP="009D0735">
            <w:pPr>
              <w:pStyle w:val="NoSpacing"/>
              <w:rPr>
                <w:lang w:eastAsia="en-GB"/>
              </w:rPr>
            </w:pPr>
            <w:r>
              <w:rPr>
                <w:lang w:eastAsia="en-GB"/>
              </w:rPr>
              <w:t>J</w:t>
            </w:r>
          </w:p>
        </w:tc>
        <w:tc>
          <w:tcPr>
            <w:tcW w:w="6837" w:type="dxa"/>
            <w:tcBorders>
              <w:top w:val="nil"/>
              <w:left w:val="nil"/>
              <w:bottom w:val="single" w:sz="4" w:space="0" w:color="auto"/>
              <w:right w:val="single" w:sz="4" w:space="0" w:color="auto"/>
            </w:tcBorders>
            <w:shd w:val="clear" w:color="auto" w:fill="auto"/>
            <w:noWrap/>
            <w:vAlign w:val="bottom"/>
            <w:hideMark/>
          </w:tcPr>
          <w:p w14:paraId="048B87BE" w14:textId="77777777" w:rsidR="0087298E" w:rsidRPr="0087298E" w:rsidRDefault="00575E06" w:rsidP="009D0735">
            <w:pPr>
              <w:pStyle w:val="NoSpacing"/>
              <w:rPr>
                <w:lang w:eastAsia="en-GB"/>
              </w:rPr>
            </w:pPr>
            <w:r>
              <w:rPr>
                <w:lang w:eastAsia="en-GB"/>
              </w:rPr>
              <w:t>ANNUAL 5 YEAR REQUI</w:t>
            </w:r>
            <w:r w:rsidR="0087298E" w:rsidRPr="0087298E">
              <w:rPr>
                <w:lang w:eastAsia="en-GB"/>
              </w:rPr>
              <w:t>REMENT (</w:t>
            </w:r>
            <w:r w:rsidR="001509AD">
              <w:rPr>
                <w:lang w:eastAsia="en-GB"/>
              </w:rPr>
              <w:t xml:space="preserve">I </w:t>
            </w:r>
            <w:r w:rsidR="0087298E" w:rsidRPr="0087298E">
              <w:rPr>
                <w:lang w:eastAsia="en-GB"/>
              </w:rPr>
              <w:t>/</w:t>
            </w:r>
            <w:r w:rsidR="001509AD">
              <w:rPr>
                <w:lang w:eastAsia="en-GB"/>
              </w:rPr>
              <w:t xml:space="preserve"> </w:t>
            </w:r>
            <w:r w:rsidR="0087298E" w:rsidRPr="0087298E">
              <w:rPr>
                <w:lang w:eastAsia="en-GB"/>
              </w:rPr>
              <w:t>5)</w:t>
            </w:r>
          </w:p>
        </w:tc>
        <w:tc>
          <w:tcPr>
            <w:tcW w:w="1814" w:type="dxa"/>
            <w:tcBorders>
              <w:top w:val="nil"/>
              <w:left w:val="nil"/>
              <w:bottom w:val="single" w:sz="4" w:space="0" w:color="auto"/>
              <w:right w:val="single" w:sz="4" w:space="0" w:color="auto"/>
            </w:tcBorders>
            <w:shd w:val="clear" w:color="auto" w:fill="auto"/>
            <w:noWrap/>
            <w:hideMark/>
          </w:tcPr>
          <w:p w14:paraId="77E33DDD" w14:textId="72A74F61" w:rsidR="0087298E" w:rsidRPr="0087298E" w:rsidRDefault="00DD3659" w:rsidP="004450EC">
            <w:pPr>
              <w:pStyle w:val="NoSpacing"/>
              <w:jc w:val="right"/>
              <w:rPr>
                <w:lang w:eastAsia="en-GB"/>
              </w:rPr>
            </w:pPr>
            <w:r>
              <w:rPr>
                <w:lang w:eastAsia="en-GB"/>
              </w:rPr>
              <w:t>901</w:t>
            </w:r>
          </w:p>
        </w:tc>
      </w:tr>
      <w:tr w:rsidR="00C83D53" w:rsidRPr="0087298E" w14:paraId="07D2D236" w14:textId="77777777" w:rsidTr="008E1EFB">
        <w:trPr>
          <w:trHeight w:val="57"/>
        </w:trPr>
        <w:tc>
          <w:tcPr>
            <w:tcW w:w="9371" w:type="dxa"/>
            <w:gridSpan w:val="3"/>
            <w:tcBorders>
              <w:top w:val="nil"/>
              <w:left w:val="single" w:sz="4" w:space="0" w:color="auto"/>
              <w:bottom w:val="single" w:sz="4" w:space="0" w:color="auto"/>
              <w:right w:val="single" w:sz="4" w:space="0" w:color="auto"/>
            </w:tcBorders>
            <w:shd w:val="clear" w:color="auto" w:fill="auto"/>
            <w:noWrap/>
            <w:vAlign w:val="bottom"/>
            <w:hideMark/>
          </w:tcPr>
          <w:p w14:paraId="3D15C928" w14:textId="6FE1FA9E" w:rsidR="00C83D53" w:rsidRPr="0087298E" w:rsidRDefault="00C83D53" w:rsidP="009D0735">
            <w:pPr>
              <w:pStyle w:val="NoSpacing"/>
              <w:rPr>
                <w:lang w:eastAsia="en-GB"/>
              </w:rPr>
            </w:pPr>
          </w:p>
        </w:tc>
      </w:tr>
      <w:tr w:rsidR="0087298E" w:rsidRPr="0087298E" w14:paraId="424EE85A"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3DD70A74" w14:textId="77777777" w:rsidR="0087298E" w:rsidRPr="00230417" w:rsidRDefault="0087298E" w:rsidP="0054403D">
            <w:pPr>
              <w:rPr>
                <w:lang w:eastAsia="en-GB"/>
              </w:rPr>
            </w:pPr>
          </w:p>
        </w:tc>
        <w:tc>
          <w:tcPr>
            <w:tcW w:w="6837" w:type="dxa"/>
            <w:tcBorders>
              <w:top w:val="nil"/>
              <w:left w:val="nil"/>
              <w:bottom w:val="single" w:sz="4" w:space="0" w:color="auto"/>
              <w:right w:val="single" w:sz="4" w:space="0" w:color="auto"/>
            </w:tcBorders>
            <w:shd w:val="clear" w:color="auto" w:fill="auto"/>
            <w:noWrap/>
            <w:vAlign w:val="bottom"/>
          </w:tcPr>
          <w:p w14:paraId="7DB8DDC0" w14:textId="77777777" w:rsidR="0087298E" w:rsidRPr="0054403D" w:rsidRDefault="00230417" w:rsidP="008E1EFB">
            <w:pPr>
              <w:pStyle w:val="Heading2"/>
            </w:pPr>
            <w:r w:rsidRPr="0054403D">
              <w:t>SUPPLY CALCULATIONS</w:t>
            </w:r>
          </w:p>
        </w:tc>
        <w:tc>
          <w:tcPr>
            <w:tcW w:w="1814" w:type="dxa"/>
            <w:tcBorders>
              <w:top w:val="nil"/>
              <w:left w:val="nil"/>
              <w:bottom w:val="single" w:sz="4" w:space="0" w:color="auto"/>
              <w:right w:val="single" w:sz="4" w:space="0" w:color="auto"/>
            </w:tcBorders>
            <w:shd w:val="clear" w:color="auto" w:fill="auto"/>
            <w:noWrap/>
            <w:vAlign w:val="bottom"/>
          </w:tcPr>
          <w:p w14:paraId="3820183F" w14:textId="77777777" w:rsidR="0087298E" w:rsidRPr="00C83D53" w:rsidRDefault="0087298E" w:rsidP="0054403D">
            <w:pPr>
              <w:rPr>
                <w:lang w:eastAsia="en-GB"/>
              </w:rPr>
            </w:pPr>
          </w:p>
        </w:tc>
      </w:tr>
      <w:tr w:rsidR="00C83D53" w:rsidRPr="0087298E" w14:paraId="1DB507BC" w14:textId="77777777" w:rsidTr="007B6200">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683498C3" w14:textId="77777777" w:rsidR="00C83D53" w:rsidRPr="0087298E" w:rsidRDefault="00C83D53" w:rsidP="0054403D">
            <w:pPr>
              <w:rPr>
                <w:lang w:eastAsia="en-GB"/>
              </w:rPr>
            </w:pPr>
          </w:p>
        </w:tc>
        <w:tc>
          <w:tcPr>
            <w:tcW w:w="8651" w:type="dxa"/>
            <w:gridSpan w:val="2"/>
            <w:tcBorders>
              <w:top w:val="nil"/>
              <w:left w:val="nil"/>
              <w:bottom w:val="single" w:sz="4" w:space="0" w:color="auto"/>
              <w:right w:val="single" w:sz="4" w:space="0" w:color="auto"/>
            </w:tcBorders>
            <w:shd w:val="clear" w:color="auto" w:fill="auto"/>
            <w:noWrap/>
            <w:vAlign w:val="bottom"/>
          </w:tcPr>
          <w:p w14:paraId="44D56966" w14:textId="77777777" w:rsidR="00C83D53" w:rsidRDefault="00C83D53" w:rsidP="009D0735">
            <w:pPr>
              <w:pStyle w:val="NoSpacing"/>
              <w:rPr>
                <w:lang w:eastAsia="en-GB"/>
              </w:rPr>
            </w:pPr>
            <w:r>
              <w:rPr>
                <w:lang w:eastAsia="en-GB"/>
              </w:rPr>
              <w:t>Key Inputs</w:t>
            </w:r>
          </w:p>
          <w:p w14:paraId="4A3951DC" w14:textId="05FF2E8F" w:rsidR="00C83D53" w:rsidRPr="00230417" w:rsidRDefault="00C83D53" w:rsidP="009D0735">
            <w:pPr>
              <w:pStyle w:val="NoSpacing"/>
              <w:numPr>
                <w:ilvl w:val="0"/>
                <w:numId w:val="20"/>
              </w:numPr>
              <w:rPr>
                <w:lang w:eastAsia="en-GB"/>
              </w:rPr>
            </w:pPr>
            <w:r w:rsidRPr="00230417">
              <w:rPr>
                <w:lang w:eastAsia="en-GB"/>
              </w:rPr>
              <w:t xml:space="preserve">See Housing Trajectory </w:t>
            </w:r>
            <w:r w:rsidR="00704294" w:rsidRPr="00230417">
              <w:rPr>
                <w:lang w:eastAsia="en-GB"/>
              </w:rPr>
              <w:t>20</w:t>
            </w:r>
            <w:r w:rsidR="00704294">
              <w:rPr>
                <w:lang w:eastAsia="en-GB"/>
              </w:rPr>
              <w:t>2</w:t>
            </w:r>
            <w:r w:rsidR="00DD3659">
              <w:rPr>
                <w:lang w:eastAsia="en-GB"/>
              </w:rPr>
              <w:t>3</w:t>
            </w:r>
            <w:r w:rsidR="00704294" w:rsidRPr="00230417">
              <w:rPr>
                <w:lang w:eastAsia="en-GB"/>
              </w:rPr>
              <w:t xml:space="preserve"> </w:t>
            </w:r>
            <w:r w:rsidRPr="00230417">
              <w:rPr>
                <w:lang w:eastAsia="en-GB"/>
              </w:rPr>
              <w:t xml:space="preserve">for detailed </w:t>
            </w:r>
            <w:proofErr w:type="gramStart"/>
            <w:r w:rsidRPr="00230417">
              <w:rPr>
                <w:lang w:eastAsia="en-GB"/>
              </w:rPr>
              <w:t>data</w:t>
            </w:r>
            <w:proofErr w:type="gramEnd"/>
            <w:r w:rsidRPr="00230417">
              <w:rPr>
                <w:lang w:eastAsia="en-GB"/>
              </w:rPr>
              <w:t xml:space="preserve"> </w:t>
            </w:r>
          </w:p>
          <w:p w14:paraId="14063CAA" w14:textId="77777777" w:rsidR="00C83D53" w:rsidRPr="00230417" w:rsidRDefault="00C83D53" w:rsidP="009D0735">
            <w:pPr>
              <w:pStyle w:val="NoSpacing"/>
              <w:numPr>
                <w:ilvl w:val="0"/>
                <w:numId w:val="20"/>
              </w:numPr>
              <w:rPr>
                <w:lang w:eastAsia="en-GB"/>
              </w:rPr>
            </w:pPr>
            <w:r w:rsidRPr="00230417">
              <w:rPr>
                <w:lang w:eastAsia="en-GB"/>
              </w:rPr>
              <w:t xml:space="preserve">Commitments (planning permissions) </w:t>
            </w:r>
          </w:p>
          <w:p w14:paraId="4E521422" w14:textId="77777777" w:rsidR="00C83D53" w:rsidRDefault="00C83D53" w:rsidP="009D0735">
            <w:pPr>
              <w:pStyle w:val="NoSpacing"/>
              <w:numPr>
                <w:ilvl w:val="0"/>
                <w:numId w:val="20"/>
              </w:numPr>
              <w:rPr>
                <w:lang w:eastAsia="en-GB"/>
              </w:rPr>
            </w:pPr>
            <w:r w:rsidRPr="00230417">
              <w:rPr>
                <w:lang w:eastAsia="en-GB"/>
              </w:rPr>
              <w:t xml:space="preserve">Local Plan allocations included in supply where </w:t>
            </w:r>
            <w:proofErr w:type="gramStart"/>
            <w:r w:rsidRPr="00230417">
              <w:rPr>
                <w:lang w:eastAsia="en-GB"/>
              </w:rPr>
              <w:t>appropriate</w:t>
            </w:r>
            <w:proofErr w:type="gramEnd"/>
          </w:p>
          <w:p w14:paraId="3DDB360B" w14:textId="77777777" w:rsidR="00C83D53" w:rsidRPr="00C83D53" w:rsidRDefault="00C83D53" w:rsidP="009D0735">
            <w:pPr>
              <w:pStyle w:val="NoSpacing"/>
              <w:numPr>
                <w:ilvl w:val="0"/>
                <w:numId w:val="20"/>
              </w:numPr>
              <w:rPr>
                <w:lang w:eastAsia="en-GB"/>
              </w:rPr>
            </w:pPr>
            <w:r w:rsidRPr="00C83D53">
              <w:rPr>
                <w:lang w:eastAsia="en-GB"/>
              </w:rPr>
              <w:t>Windfalls, SHLAA sites, Consolidated employment</w:t>
            </w:r>
          </w:p>
        </w:tc>
      </w:tr>
      <w:tr w:rsidR="0087298E" w:rsidRPr="0087298E" w14:paraId="529A968E"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44F67291" w14:textId="77777777" w:rsidR="0087298E" w:rsidRPr="0087298E" w:rsidRDefault="001509AD" w:rsidP="0054403D">
            <w:pPr>
              <w:rPr>
                <w:lang w:eastAsia="en-GB"/>
              </w:rPr>
            </w:pPr>
            <w:r>
              <w:rPr>
                <w:lang w:eastAsia="en-GB"/>
              </w:rPr>
              <w:t>K</w:t>
            </w:r>
          </w:p>
        </w:tc>
        <w:tc>
          <w:tcPr>
            <w:tcW w:w="6837" w:type="dxa"/>
            <w:tcBorders>
              <w:top w:val="nil"/>
              <w:left w:val="nil"/>
              <w:bottom w:val="single" w:sz="4" w:space="0" w:color="auto"/>
              <w:right w:val="single" w:sz="4" w:space="0" w:color="auto"/>
            </w:tcBorders>
            <w:shd w:val="clear" w:color="auto" w:fill="auto"/>
            <w:noWrap/>
            <w:vAlign w:val="bottom"/>
          </w:tcPr>
          <w:p w14:paraId="3D95F227" w14:textId="77777777" w:rsidR="0087298E" w:rsidRPr="0087298E" w:rsidRDefault="00230417" w:rsidP="009D0735">
            <w:pPr>
              <w:pStyle w:val="NoSpacing"/>
              <w:rPr>
                <w:lang w:eastAsia="en-GB"/>
              </w:rPr>
            </w:pPr>
            <w:r>
              <w:rPr>
                <w:lang w:eastAsia="en-GB"/>
              </w:rPr>
              <w:t>Commitments (Planning Permissions)</w:t>
            </w:r>
          </w:p>
        </w:tc>
        <w:tc>
          <w:tcPr>
            <w:tcW w:w="1814" w:type="dxa"/>
            <w:tcBorders>
              <w:top w:val="nil"/>
              <w:left w:val="nil"/>
              <w:bottom w:val="single" w:sz="4" w:space="0" w:color="auto"/>
              <w:right w:val="single" w:sz="4" w:space="0" w:color="auto"/>
            </w:tcBorders>
            <w:shd w:val="clear" w:color="auto" w:fill="auto"/>
            <w:noWrap/>
          </w:tcPr>
          <w:p w14:paraId="3C7794F7" w14:textId="582E2E92" w:rsidR="0087298E" w:rsidRPr="0087298E" w:rsidRDefault="00704294" w:rsidP="004450EC">
            <w:pPr>
              <w:pStyle w:val="NoSpacing"/>
              <w:jc w:val="right"/>
              <w:rPr>
                <w:color w:val="000000"/>
                <w:lang w:eastAsia="en-GB"/>
              </w:rPr>
            </w:pPr>
            <w:r>
              <w:rPr>
                <w:lang w:eastAsia="en-GB"/>
              </w:rPr>
              <w:t>4,</w:t>
            </w:r>
            <w:r w:rsidR="00DD3659">
              <w:rPr>
                <w:lang w:eastAsia="en-GB"/>
              </w:rPr>
              <w:t>707</w:t>
            </w:r>
          </w:p>
        </w:tc>
      </w:tr>
      <w:tr w:rsidR="0087298E" w:rsidRPr="0087298E" w14:paraId="247849BA"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0F8EA2BA" w14:textId="77777777" w:rsidR="0087298E" w:rsidRPr="0087298E" w:rsidRDefault="001509AD" w:rsidP="0054403D">
            <w:pPr>
              <w:rPr>
                <w:lang w:eastAsia="en-GB"/>
              </w:rPr>
            </w:pPr>
            <w:r>
              <w:rPr>
                <w:lang w:eastAsia="en-GB"/>
              </w:rPr>
              <w:t>L</w:t>
            </w:r>
          </w:p>
        </w:tc>
        <w:tc>
          <w:tcPr>
            <w:tcW w:w="6837" w:type="dxa"/>
            <w:tcBorders>
              <w:top w:val="nil"/>
              <w:left w:val="nil"/>
              <w:bottom w:val="single" w:sz="4" w:space="0" w:color="auto"/>
              <w:right w:val="single" w:sz="4" w:space="0" w:color="auto"/>
            </w:tcBorders>
            <w:shd w:val="clear" w:color="auto" w:fill="auto"/>
            <w:noWrap/>
            <w:vAlign w:val="bottom"/>
          </w:tcPr>
          <w:p w14:paraId="6E056494" w14:textId="77777777" w:rsidR="0087298E" w:rsidRPr="0087298E" w:rsidRDefault="00230417" w:rsidP="009D0735">
            <w:pPr>
              <w:pStyle w:val="NoSpacing"/>
              <w:rPr>
                <w:lang w:eastAsia="en-GB"/>
              </w:rPr>
            </w:pPr>
            <w:r>
              <w:rPr>
                <w:lang w:eastAsia="en-GB"/>
              </w:rPr>
              <w:t xml:space="preserve">Commitments </w:t>
            </w:r>
            <w:r w:rsidR="00613847">
              <w:rPr>
                <w:lang w:eastAsia="en-GB"/>
              </w:rPr>
              <w:t>–</w:t>
            </w:r>
            <w:r>
              <w:rPr>
                <w:lang w:eastAsia="en-GB"/>
              </w:rPr>
              <w:t xml:space="preserve"> </w:t>
            </w:r>
            <w:r w:rsidR="00613847">
              <w:rPr>
                <w:lang w:eastAsia="en-GB"/>
              </w:rPr>
              <w:t>Residential institutions</w:t>
            </w:r>
            <w:r>
              <w:rPr>
                <w:lang w:eastAsia="en-GB"/>
              </w:rPr>
              <w:t xml:space="preserve"> (@</w:t>
            </w:r>
            <w:r w:rsidR="00973159">
              <w:rPr>
                <w:lang w:eastAsia="en-GB"/>
              </w:rPr>
              <w:t xml:space="preserve"> 1</w:t>
            </w:r>
            <w:r w:rsidR="00973159" w:rsidRPr="00973159">
              <w:rPr>
                <w:lang w:eastAsia="en-GB"/>
              </w:rPr>
              <w:t>.</w:t>
            </w:r>
            <w:r w:rsidR="00973159">
              <w:rPr>
                <w:lang w:eastAsia="en-GB"/>
              </w:rPr>
              <w:t>8</w:t>
            </w:r>
            <w:r w:rsidR="00973159" w:rsidRPr="00973159">
              <w:rPr>
                <w:lang w:eastAsia="en-GB"/>
              </w:rPr>
              <w:t xml:space="preserve"> </w:t>
            </w:r>
            <w:r w:rsidR="00973159">
              <w:rPr>
                <w:lang w:eastAsia="en-GB"/>
              </w:rPr>
              <w:t>residents</w:t>
            </w:r>
            <w:r w:rsidR="00973159" w:rsidRPr="00973159">
              <w:rPr>
                <w:lang w:eastAsia="en-GB"/>
              </w:rPr>
              <w:t xml:space="preserve"> per dwelling</w:t>
            </w:r>
            <w:r>
              <w:rPr>
                <w:lang w:eastAsia="en-GB"/>
              </w:rPr>
              <w:t>)</w:t>
            </w:r>
          </w:p>
        </w:tc>
        <w:tc>
          <w:tcPr>
            <w:tcW w:w="1814" w:type="dxa"/>
            <w:tcBorders>
              <w:top w:val="nil"/>
              <w:left w:val="nil"/>
              <w:bottom w:val="single" w:sz="4" w:space="0" w:color="auto"/>
              <w:right w:val="single" w:sz="4" w:space="0" w:color="auto"/>
            </w:tcBorders>
            <w:shd w:val="clear" w:color="auto" w:fill="auto"/>
            <w:noWrap/>
          </w:tcPr>
          <w:p w14:paraId="5FF065A5" w14:textId="06F63924" w:rsidR="0087298E" w:rsidRPr="0087298E" w:rsidRDefault="00DD3659" w:rsidP="00163354">
            <w:pPr>
              <w:pStyle w:val="NoSpacing"/>
              <w:jc w:val="right"/>
              <w:rPr>
                <w:lang w:eastAsia="en-GB"/>
              </w:rPr>
            </w:pPr>
            <w:r>
              <w:rPr>
                <w:lang w:eastAsia="en-GB"/>
              </w:rPr>
              <w:t>49</w:t>
            </w:r>
          </w:p>
        </w:tc>
      </w:tr>
      <w:tr w:rsidR="0087298E" w:rsidRPr="0087298E" w14:paraId="3CA87455"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35B135CB" w14:textId="77777777" w:rsidR="0087298E" w:rsidRPr="0087298E" w:rsidRDefault="001509AD" w:rsidP="0054403D">
            <w:pPr>
              <w:rPr>
                <w:lang w:eastAsia="en-GB"/>
              </w:rPr>
            </w:pPr>
            <w:r>
              <w:rPr>
                <w:lang w:eastAsia="en-GB"/>
              </w:rPr>
              <w:t>M</w:t>
            </w:r>
          </w:p>
        </w:tc>
        <w:tc>
          <w:tcPr>
            <w:tcW w:w="6837" w:type="dxa"/>
            <w:tcBorders>
              <w:top w:val="nil"/>
              <w:left w:val="nil"/>
              <w:bottom w:val="single" w:sz="4" w:space="0" w:color="auto"/>
              <w:right w:val="single" w:sz="4" w:space="0" w:color="auto"/>
            </w:tcBorders>
            <w:shd w:val="clear" w:color="auto" w:fill="auto"/>
            <w:noWrap/>
            <w:vAlign w:val="bottom"/>
          </w:tcPr>
          <w:p w14:paraId="6A6982B0" w14:textId="77777777" w:rsidR="0087298E" w:rsidRPr="0039758A" w:rsidRDefault="00230417" w:rsidP="009D0735">
            <w:pPr>
              <w:pStyle w:val="NoSpacing"/>
              <w:rPr>
                <w:lang w:eastAsia="en-GB"/>
              </w:rPr>
            </w:pPr>
            <w:r w:rsidRPr="0039758A">
              <w:rPr>
                <w:lang w:eastAsia="en-GB"/>
              </w:rPr>
              <w:t xml:space="preserve">Commitments – </w:t>
            </w:r>
            <w:r w:rsidR="00613847">
              <w:rPr>
                <w:lang w:eastAsia="en-GB"/>
              </w:rPr>
              <w:t>Students and HMOs</w:t>
            </w:r>
            <w:r w:rsidR="009E5CD1">
              <w:rPr>
                <w:lang w:eastAsia="en-GB"/>
              </w:rPr>
              <w:t xml:space="preserve"> (@ 2.5 students per dwelling)</w:t>
            </w:r>
          </w:p>
        </w:tc>
        <w:tc>
          <w:tcPr>
            <w:tcW w:w="1814" w:type="dxa"/>
            <w:tcBorders>
              <w:top w:val="nil"/>
              <w:left w:val="nil"/>
              <w:bottom w:val="single" w:sz="4" w:space="0" w:color="auto"/>
              <w:right w:val="single" w:sz="4" w:space="0" w:color="auto"/>
            </w:tcBorders>
            <w:shd w:val="clear" w:color="auto" w:fill="auto"/>
            <w:noWrap/>
          </w:tcPr>
          <w:p w14:paraId="6CC780E3" w14:textId="6DB495C4" w:rsidR="0087298E" w:rsidRPr="0039758A" w:rsidRDefault="00E35FEE" w:rsidP="00163354">
            <w:pPr>
              <w:pStyle w:val="NoSpacing"/>
              <w:jc w:val="right"/>
              <w:rPr>
                <w:lang w:eastAsia="en-GB"/>
              </w:rPr>
            </w:pPr>
            <w:r>
              <w:rPr>
                <w:lang w:eastAsia="en-GB"/>
              </w:rPr>
              <w:t>88</w:t>
            </w:r>
          </w:p>
        </w:tc>
      </w:tr>
      <w:tr w:rsidR="0087298E" w:rsidRPr="0087298E" w14:paraId="447E5511"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2583C210" w14:textId="77777777" w:rsidR="0087298E" w:rsidRPr="0087298E" w:rsidRDefault="001509AD" w:rsidP="009D0735">
            <w:pPr>
              <w:pStyle w:val="NoSpacing"/>
              <w:rPr>
                <w:lang w:eastAsia="en-GB"/>
              </w:rPr>
            </w:pPr>
            <w:r>
              <w:rPr>
                <w:lang w:eastAsia="en-GB"/>
              </w:rPr>
              <w:t>N</w:t>
            </w:r>
          </w:p>
        </w:tc>
        <w:tc>
          <w:tcPr>
            <w:tcW w:w="6837" w:type="dxa"/>
            <w:tcBorders>
              <w:top w:val="nil"/>
              <w:left w:val="nil"/>
              <w:bottom w:val="single" w:sz="4" w:space="0" w:color="auto"/>
              <w:right w:val="single" w:sz="4" w:space="0" w:color="auto"/>
            </w:tcBorders>
            <w:shd w:val="clear" w:color="auto" w:fill="auto"/>
            <w:noWrap/>
            <w:vAlign w:val="bottom"/>
          </w:tcPr>
          <w:p w14:paraId="4AB8A9D7" w14:textId="77777777" w:rsidR="0087298E" w:rsidRPr="0087298E" w:rsidRDefault="007A329C" w:rsidP="009D0735">
            <w:pPr>
              <w:pStyle w:val="NoSpacing"/>
              <w:rPr>
                <w:lang w:eastAsia="en-GB"/>
              </w:rPr>
            </w:pPr>
            <w:r>
              <w:rPr>
                <w:lang w:eastAsia="en-GB"/>
              </w:rPr>
              <w:t>Small Urban SHLAA Sites</w:t>
            </w:r>
          </w:p>
        </w:tc>
        <w:tc>
          <w:tcPr>
            <w:tcW w:w="1814" w:type="dxa"/>
            <w:tcBorders>
              <w:top w:val="nil"/>
              <w:left w:val="nil"/>
              <w:bottom w:val="single" w:sz="4" w:space="0" w:color="auto"/>
              <w:right w:val="single" w:sz="4" w:space="0" w:color="auto"/>
            </w:tcBorders>
            <w:shd w:val="clear" w:color="auto" w:fill="auto"/>
            <w:noWrap/>
          </w:tcPr>
          <w:p w14:paraId="295888A1" w14:textId="77777777" w:rsidR="0087298E" w:rsidRPr="0087298E" w:rsidRDefault="007A329C" w:rsidP="00163354">
            <w:pPr>
              <w:pStyle w:val="NoSpacing"/>
              <w:jc w:val="right"/>
              <w:rPr>
                <w:color w:val="000000"/>
                <w:lang w:eastAsia="en-GB"/>
              </w:rPr>
            </w:pPr>
            <w:r>
              <w:rPr>
                <w:lang w:eastAsia="en-GB"/>
              </w:rPr>
              <w:t>32</w:t>
            </w:r>
          </w:p>
        </w:tc>
      </w:tr>
      <w:tr w:rsidR="0087298E" w:rsidRPr="0087298E" w14:paraId="245D78F7"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3D923914" w14:textId="77777777" w:rsidR="0087298E" w:rsidRPr="0087298E" w:rsidRDefault="001509AD" w:rsidP="009D0735">
            <w:pPr>
              <w:pStyle w:val="NoSpacing"/>
              <w:rPr>
                <w:lang w:eastAsia="en-GB"/>
              </w:rPr>
            </w:pPr>
            <w:r>
              <w:rPr>
                <w:lang w:eastAsia="en-GB"/>
              </w:rPr>
              <w:t>O</w:t>
            </w:r>
          </w:p>
        </w:tc>
        <w:tc>
          <w:tcPr>
            <w:tcW w:w="6837" w:type="dxa"/>
            <w:tcBorders>
              <w:top w:val="nil"/>
              <w:left w:val="nil"/>
              <w:bottom w:val="single" w:sz="4" w:space="0" w:color="auto"/>
              <w:right w:val="single" w:sz="4" w:space="0" w:color="auto"/>
            </w:tcBorders>
            <w:shd w:val="clear" w:color="auto" w:fill="auto"/>
            <w:noWrap/>
            <w:vAlign w:val="bottom"/>
          </w:tcPr>
          <w:p w14:paraId="2DA48E2E" w14:textId="77777777" w:rsidR="0087298E" w:rsidRPr="0087298E" w:rsidRDefault="007A329C" w:rsidP="009D0735">
            <w:pPr>
              <w:pStyle w:val="NoSpacing"/>
              <w:rPr>
                <w:lang w:eastAsia="en-GB"/>
              </w:rPr>
            </w:pPr>
            <w:r>
              <w:rPr>
                <w:lang w:eastAsia="en-GB"/>
              </w:rPr>
              <w:t>Windfalls</w:t>
            </w:r>
          </w:p>
        </w:tc>
        <w:tc>
          <w:tcPr>
            <w:tcW w:w="1814" w:type="dxa"/>
            <w:tcBorders>
              <w:top w:val="nil"/>
              <w:left w:val="nil"/>
              <w:bottom w:val="single" w:sz="4" w:space="0" w:color="auto"/>
              <w:right w:val="single" w:sz="4" w:space="0" w:color="auto"/>
            </w:tcBorders>
            <w:shd w:val="clear" w:color="auto" w:fill="auto"/>
            <w:noWrap/>
          </w:tcPr>
          <w:p w14:paraId="1CEF535B" w14:textId="070F7069" w:rsidR="0087298E" w:rsidRPr="0087298E" w:rsidRDefault="00704294" w:rsidP="00163354">
            <w:pPr>
              <w:pStyle w:val="NoSpacing"/>
              <w:jc w:val="right"/>
              <w:rPr>
                <w:lang w:eastAsia="en-GB"/>
              </w:rPr>
            </w:pPr>
            <w:r>
              <w:rPr>
                <w:lang w:eastAsia="en-GB"/>
              </w:rPr>
              <w:t>505</w:t>
            </w:r>
          </w:p>
        </w:tc>
      </w:tr>
      <w:tr w:rsidR="00230417" w:rsidRPr="0087298E" w14:paraId="2776991D"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30F66A55" w14:textId="77777777" w:rsidR="00230417" w:rsidRPr="0087298E" w:rsidRDefault="001509AD" w:rsidP="009D0735">
            <w:pPr>
              <w:pStyle w:val="NoSpacing"/>
              <w:rPr>
                <w:lang w:eastAsia="en-GB"/>
              </w:rPr>
            </w:pPr>
            <w:r>
              <w:rPr>
                <w:lang w:eastAsia="en-GB"/>
              </w:rPr>
              <w:t>P</w:t>
            </w:r>
          </w:p>
        </w:tc>
        <w:tc>
          <w:tcPr>
            <w:tcW w:w="6837" w:type="dxa"/>
            <w:tcBorders>
              <w:top w:val="nil"/>
              <w:left w:val="nil"/>
              <w:bottom w:val="single" w:sz="4" w:space="0" w:color="auto"/>
              <w:right w:val="single" w:sz="4" w:space="0" w:color="auto"/>
            </w:tcBorders>
            <w:shd w:val="clear" w:color="auto" w:fill="auto"/>
            <w:noWrap/>
            <w:vAlign w:val="bottom"/>
          </w:tcPr>
          <w:p w14:paraId="785A071B" w14:textId="25FAE780" w:rsidR="00230417" w:rsidRDefault="00230417" w:rsidP="009D0735">
            <w:pPr>
              <w:pStyle w:val="NoSpacing"/>
              <w:rPr>
                <w:lang w:eastAsia="en-GB"/>
              </w:rPr>
            </w:pPr>
            <w:r>
              <w:rPr>
                <w:lang w:eastAsia="en-GB"/>
              </w:rPr>
              <w:t>Consolidated employment land</w:t>
            </w:r>
            <w:r w:rsidR="009A128B">
              <w:rPr>
                <w:lang w:eastAsia="en-GB"/>
              </w:rPr>
              <w:t xml:space="preserve"> (Canalside and Employment areas)</w:t>
            </w:r>
          </w:p>
        </w:tc>
        <w:tc>
          <w:tcPr>
            <w:tcW w:w="1814" w:type="dxa"/>
            <w:tcBorders>
              <w:top w:val="nil"/>
              <w:left w:val="nil"/>
              <w:bottom w:val="single" w:sz="4" w:space="0" w:color="auto"/>
              <w:right w:val="single" w:sz="4" w:space="0" w:color="auto"/>
            </w:tcBorders>
            <w:shd w:val="clear" w:color="auto" w:fill="auto"/>
            <w:noWrap/>
          </w:tcPr>
          <w:p w14:paraId="30CF9AE9" w14:textId="77777777" w:rsidR="00230417" w:rsidRDefault="007A329C" w:rsidP="00163354">
            <w:pPr>
              <w:pStyle w:val="NoSpacing"/>
              <w:jc w:val="right"/>
              <w:rPr>
                <w:lang w:eastAsia="en-GB"/>
              </w:rPr>
            </w:pPr>
            <w:r>
              <w:rPr>
                <w:lang w:eastAsia="en-GB"/>
              </w:rPr>
              <w:t>0</w:t>
            </w:r>
          </w:p>
        </w:tc>
      </w:tr>
      <w:tr w:rsidR="0087298E" w:rsidRPr="0087298E" w14:paraId="22E1654A"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0BDCB76B" w14:textId="77777777" w:rsidR="0087298E" w:rsidRPr="0087298E" w:rsidRDefault="001509AD" w:rsidP="009D0735">
            <w:pPr>
              <w:pStyle w:val="NoSpacing"/>
              <w:rPr>
                <w:lang w:eastAsia="en-GB"/>
              </w:rPr>
            </w:pPr>
            <w:r>
              <w:rPr>
                <w:lang w:eastAsia="en-GB"/>
              </w:rPr>
              <w:t>Q</w:t>
            </w:r>
          </w:p>
        </w:tc>
        <w:tc>
          <w:tcPr>
            <w:tcW w:w="6837" w:type="dxa"/>
            <w:tcBorders>
              <w:top w:val="nil"/>
              <w:left w:val="nil"/>
              <w:bottom w:val="single" w:sz="4" w:space="0" w:color="auto"/>
              <w:right w:val="single" w:sz="4" w:space="0" w:color="auto"/>
            </w:tcBorders>
            <w:shd w:val="clear" w:color="auto" w:fill="auto"/>
            <w:noWrap/>
            <w:vAlign w:val="bottom"/>
          </w:tcPr>
          <w:p w14:paraId="2D753B18" w14:textId="41EA9038" w:rsidR="0087298E" w:rsidRPr="0087298E" w:rsidRDefault="00230417" w:rsidP="009D0735">
            <w:pPr>
              <w:pStyle w:val="NoSpacing"/>
              <w:rPr>
                <w:lang w:eastAsia="en-GB"/>
              </w:rPr>
            </w:pPr>
            <w:r>
              <w:rPr>
                <w:lang w:eastAsia="en-GB"/>
              </w:rPr>
              <w:t>Local Plan Allocations</w:t>
            </w:r>
            <w:r w:rsidR="009A128B">
              <w:rPr>
                <w:lang w:eastAsia="en-GB"/>
              </w:rPr>
              <w:t xml:space="preserve"> (without permission)</w:t>
            </w:r>
          </w:p>
        </w:tc>
        <w:tc>
          <w:tcPr>
            <w:tcW w:w="1814" w:type="dxa"/>
            <w:tcBorders>
              <w:top w:val="nil"/>
              <w:left w:val="nil"/>
              <w:bottom w:val="single" w:sz="4" w:space="0" w:color="auto"/>
              <w:right w:val="single" w:sz="4" w:space="0" w:color="auto"/>
            </w:tcBorders>
            <w:shd w:val="clear" w:color="auto" w:fill="auto"/>
            <w:noWrap/>
          </w:tcPr>
          <w:p w14:paraId="0568DC8B" w14:textId="6869D8E1" w:rsidR="0087298E" w:rsidRPr="0087298E" w:rsidRDefault="00704294" w:rsidP="00163354">
            <w:pPr>
              <w:pStyle w:val="NoSpacing"/>
              <w:jc w:val="right"/>
              <w:rPr>
                <w:color w:val="000000"/>
                <w:lang w:eastAsia="en-GB"/>
              </w:rPr>
            </w:pPr>
            <w:r>
              <w:rPr>
                <w:lang w:eastAsia="en-GB"/>
              </w:rPr>
              <w:t>1,</w:t>
            </w:r>
            <w:r w:rsidR="00E35FEE">
              <w:rPr>
                <w:lang w:eastAsia="en-GB"/>
              </w:rPr>
              <w:t>069</w:t>
            </w:r>
          </w:p>
        </w:tc>
      </w:tr>
      <w:tr w:rsidR="0087298E" w:rsidRPr="0087298E" w14:paraId="108847AA"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3BF7827A" w14:textId="77777777" w:rsidR="0087298E" w:rsidRPr="0087298E" w:rsidRDefault="001509AD" w:rsidP="009D0735">
            <w:pPr>
              <w:pStyle w:val="NoSpacing"/>
              <w:rPr>
                <w:lang w:eastAsia="en-GB"/>
              </w:rPr>
            </w:pPr>
            <w:r>
              <w:rPr>
                <w:lang w:eastAsia="en-GB"/>
              </w:rPr>
              <w:t>R</w:t>
            </w:r>
          </w:p>
        </w:tc>
        <w:tc>
          <w:tcPr>
            <w:tcW w:w="6837" w:type="dxa"/>
            <w:tcBorders>
              <w:top w:val="nil"/>
              <w:left w:val="nil"/>
              <w:bottom w:val="single" w:sz="4" w:space="0" w:color="auto"/>
              <w:right w:val="single" w:sz="4" w:space="0" w:color="auto"/>
            </w:tcBorders>
            <w:shd w:val="clear" w:color="auto" w:fill="auto"/>
            <w:noWrap/>
            <w:vAlign w:val="bottom"/>
            <w:hideMark/>
          </w:tcPr>
          <w:p w14:paraId="21555DCF" w14:textId="123CD46A" w:rsidR="0087298E" w:rsidRPr="0087298E" w:rsidRDefault="004C1421" w:rsidP="004450EC">
            <w:pPr>
              <w:pStyle w:val="NoSpacing"/>
              <w:rPr>
                <w:lang w:eastAsia="en-GB"/>
              </w:rPr>
            </w:pPr>
            <w:r w:rsidRPr="009D0735">
              <w:rPr>
                <w:b/>
                <w:lang w:eastAsia="en-GB"/>
              </w:rPr>
              <w:t>5 YEAR SUPPLY (1/4/2</w:t>
            </w:r>
            <w:r w:rsidR="00E35FEE">
              <w:rPr>
                <w:b/>
                <w:lang w:eastAsia="en-GB"/>
              </w:rPr>
              <w:t>3</w:t>
            </w:r>
            <w:r w:rsidR="0087298E" w:rsidRPr="009D0735">
              <w:rPr>
                <w:b/>
                <w:lang w:eastAsia="en-GB"/>
              </w:rPr>
              <w:t xml:space="preserve"> to 31/3/2</w:t>
            </w:r>
            <w:r w:rsidR="00E35FEE">
              <w:rPr>
                <w:b/>
                <w:lang w:eastAsia="en-GB"/>
              </w:rPr>
              <w:t>8</w:t>
            </w:r>
            <w:r w:rsidR="0087298E" w:rsidRPr="009D0735">
              <w:rPr>
                <w:b/>
                <w:lang w:eastAsia="en-GB"/>
              </w:rPr>
              <w:t>)</w:t>
            </w:r>
            <w:r w:rsidR="00B71C81">
              <w:rPr>
                <w:lang w:eastAsia="en-GB"/>
              </w:rPr>
              <w:t xml:space="preserve"> </w:t>
            </w:r>
            <w:r w:rsidR="00B71C81" w:rsidRPr="00B71C81">
              <w:rPr>
                <w:lang w:eastAsia="en-GB"/>
              </w:rPr>
              <w:t>(K + L + M + N + O + P + Q)</w:t>
            </w:r>
          </w:p>
        </w:tc>
        <w:tc>
          <w:tcPr>
            <w:tcW w:w="1814" w:type="dxa"/>
            <w:tcBorders>
              <w:top w:val="nil"/>
              <w:left w:val="nil"/>
              <w:bottom w:val="single" w:sz="4" w:space="0" w:color="auto"/>
              <w:right w:val="single" w:sz="4" w:space="0" w:color="auto"/>
            </w:tcBorders>
            <w:shd w:val="clear" w:color="auto" w:fill="auto"/>
            <w:noWrap/>
            <w:hideMark/>
          </w:tcPr>
          <w:p w14:paraId="62FC9FB8" w14:textId="69315B29" w:rsidR="0087298E" w:rsidRPr="009D0735" w:rsidRDefault="00704294" w:rsidP="003479A7">
            <w:pPr>
              <w:pStyle w:val="NoSpacing"/>
              <w:jc w:val="right"/>
              <w:rPr>
                <w:b/>
                <w:color w:val="000000"/>
                <w:lang w:eastAsia="en-GB"/>
              </w:rPr>
            </w:pPr>
            <w:r>
              <w:rPr>
                <w:b/>
                <w:lang w:eastAsia="en-GB"/>
              </w:rPr>
              <w:t>6,</w:t>
            </w:r>
            <w:r w:rsidR="00E35FEE">
              <w:rPr>
                <w:b/>
                <w:lang w:eastAsia="en-GB"/>
              </w:rPr>
              <w:t>450</w:t>
            </w:r>
            <w:r w:rsidR="00E86CED">
              <w:rPr>
                <w:rStyle w:val="FootnoteReference"/>
                <w:rFonts w:ascii="Calibri" w:hAnsi="Calibri" w:cs="Times New Roman"/>
                <w:bCs/>
                <w:color w:val="000000"/>
              </w:rPr>
              <w:footnoteReference w:id="2"/>
            </w:r>
          </w:p>
        </w:tc>
      </w:tr>
      <w:tr w:rsidR="00613847" w:rsidRPr="0087298E" w14:paraId="691FDBA5" w14:textId="77777777" w:rsidTr="00E35FEE">
        <w:trPr>
          <w:trHeight w:val="300"/>
        </w:trPr>
        <w:tc>
          <w:tcPr>
            <w:tcW w:w="720" w:type="dxa"/>
            <w:tcBorders>
              <w:top w:val="nil"/>
              <w:left w:val="single" w:sz="4" w:space="0" w:color="auto"/>
              <w:bottom w:val="single" w:sz="4" w:space="0" w:color="auto"/>
              <w:right w:val="single" w:sz="4" w:space="0" w:color="auto"/>
            </w:tcBorders>
            <w:shd w:val="clear" w:color="auto" w:fill="auto"/>
            <w:noWrap/>
            <w:vAlign w:val="bottom"/>
          </w:tcPr>
          <w:p w14:paraId="5731F4DC" w14:textId="77777777" w:rsidR="00613847" w:rsidRDefault="001509AD" w:rsidP="009D0735">
            <w:pPr>
              <w:pStyle w:val="NoSpacing"/>
              <w:rPr>
                <w:lang w:eastAsia="en-GB"/>
              </w:rPr>
            </w:pPr>
            <w:r>
              <w:rPr>
                <w:lang w:eastAsia="en-GB"/>
              </w:rPr>
              <w:t>S</w:t>
            </w:r>
          </w:p>
        </w:tc>
        <w:tc>
          <w:tcPr>
            <w:tcW w:w="6837" w:type="dxa"/>
            <w:tcBorders>
              <w:top w:val="nil"/>
              <w:left w:val="nil"/>
              <w:bottom w:val="single" w:sz="4" w:space="0" w:color="auto"/>
              <w:right w:val="single" w:sz="4" w:space="0" w:color="auto"/>
            </w:tcBorders>
            <w:shd w:val="clear" w:color="auto" w:fill="auto"/>
            <w:noWrap/>
            <w:vAlign w:val="bottom"/>
          </w:tcPr>
          <w:p w14:paraId="328B8D4A" w14:textId="77777777" w:rsidR="00613847" w:rsidRPr="00613847" w:rsidRDefault="00613847" w:rsidP="009D0735">
            <w:pPr>
              <w:pStyle w:val="NoSpacing"/>
              <w:rPr>
                <w:lang w:eastAsia="en-GB"/>
              </w:rPr>
            </w:pPr>
            <w:r w:rsidRPr="00613847">
              <w:rPr>
                <w:lang w:eastAsia="en-GB"/>
              </w:rPr>
              <w:t>Surplus</w:t>
            </w:r>
            <w:r w:rsidR="001509AD">
              <w:rPr>
                <w:lang w:eastAsia="en-GB"/>
              </w:rPr>
              <w:t xml:space="preserve">: </w:t>
            </w:r>
            <w:proofErr w:type="gramStart"/>
            <w:r w:rsidR="001509AD">
              <w:rPr>
                <w:lang w:eastAsia="en-GB"/>
              </w:rPr>
              <w:t>5 year</w:t>
            </w:r>
            <w:proofErr w:type="gramEnd"/>
            <w:r w:rsidR="001509AD">
              <w:rPr>
                <w:lang w:eastAsia="en-GB"/>
              </w:rPr>
              <w:t xml:space="preserve"> supply minus 5 year requirement</w:t>
            </w:r>
            <w:r w:rsidR="00B71C81">
              <w:rPr>
                <w:lang w:eastAsia="en-GB"/>
              </w:rPr>
              <w:t xml:space="preserve"> (R</w:t>
            </w:r>
            <w:r w:rsidR="001509AD">
              <w:rPr>
                <w:lang w:eastAsia="en-GB"/>
              </w:rPr>
              <w:t xml:space="preserve"> </w:t>
            </w:r>
            <w:r>
              <w:rPr>
                <w:lang w:eastAsia="en-GB"/>
              </w:rPr>
              <w:t>-</w:t>
            </w:r>
            <w:r w:rsidR="001509AD">
              <w:rPr>
                <w:lang w:eastAsia="en-GB"/>
              </w:rPr>
              <w:t xml:space="preserve"> I</w:t>
            </w:r>
            <w:r>
              <w:rPr>
                <w:lang w:eastAsia="en-GB"/>
              </w:rPr>
              <w:t>)</w:t>
            </w:r>
          </w:p>
        </w:tc>
        <w:tc>
          <w:tcPr>
            <w:tcW w:w="1814" w:type="dxa"/>
            <w:tcBorders>
              <w:top w:val="nil"/>
              <w:left w:val="nil"/>
              <w:bottom w:val="single" w:sz="4" w:space="0" w:color="auto"/>
              <w:right w:val="single" w:sz="4" w:space="0" w:color="auto"/>
            </w:tcBorders>
            <w:shd w:val="clear" w:color="auto" w:fill="auto"/>
            <w:noWrap/>
          </w:tcPr>
          <w:p w14:paraId="2EB822E8" w14:textId="1C26F540" w:rsidR="00613847" w:rsidRPr="009D0735" w:rsidRDefault="00704294" w:rsidP="003479A7">
            <w:pPr>
              <w:pStyle w:val="NoSpacing"/>
              <w:jc w:val="right"/>
              <w:rPr>
                <w:lang w:eastAsia="en-GB"/>
              </w:rPr>
            </w:pPr>
            <w:r>
              <w:rPr>
                <w:lang w:eastAsia="en-GB"/>
              </w:rPr>
              <w:t>1</w:t>
            </w:r>
            <w:r w:rsidR="00E35FEE">
              <w:rPr>
                <w:lang w:eastAsia="en-GB"/>
              </w:rPr>
              <w:t>947</w:t>
            </w:r>
          </w:p>
        </w:tc>
      </w:tr>
      <w:tr w:rsidR="007B6200" w:rsidRPr="0087298E" w14:paraId="03B911C4" w14:textId="77777777" w:rsidTr="00644793">
        <w:trPr>
          <w:trHeight w:val="300"/>
        </w:trPr>
        <w:tc>
          <w:tcPr>
            <w:tcW w:w="9371" w:type="dxa"/>
            <w:gridSpan w:val="3"/>
            <w:tcBorders>
              <w:top w:val="nil"/>
              <w:left w:val="single" w:sz="4" w:space="0" w:color="auto"/>
              <w:bottom w:val="single" w:sz="4" w:space="0" w:color="auto"/>
              <w:right w:val="single" w:sz="4" w:space="0" w:color="auto"/>
            </w:tcBorders>
            <w:shd w:val="clear" w:color="auto" w:fill="auto"/>
            <w:noWrap/>
            <w:vAlign w:val="bottom"/>
          </w:tcPr>
          <w:p w14:paraId="063A4015" w14:textId="77777777" w:rsidR="007B6200" w:rsidRPr="0087298E" w:rsidRDefault="007B6200" w:rsidP="009D0735">
            <w:pPr>
              <w:pStyle w:val="NoSpacing"/>
              <w:rPr>
                <w:lang w:eastAsia="en-GB"/>
              </w:rPr>
            </w:pPr>
          </w:p>
        </w:tc>
      </w:tr>
      <w:tr w:rsidR="0087298E" w:rsidRPr="0087298E" w14:paraId="52DC1886" w14:textId="77777777" w:rsidTr="00E35FEE">
        <w:trPr>
          <w:trHeight w:val="315"/>
        </w:trPr>
        <w:tc>
          <w:tcPr>
            <w:tcW w:w="720" w:type="dxa"/>
            <w:tcBorders>
              <w:top w:val="nil"/>
              <w:left w:val="single" w:sz="4" w:space="0" w:color="auto"/>
              <w:bottom w:val="single" w:sz="4" w:space="0" w:color="auto"/>
              <w:right w:val="single" w:sz="4" w:space="0" w:color="auto"/>
            </w:tcBorders>
            <w:shd w:val="clear" w:color="auto" w:fill="auto"/>
            <w:noWrap/>
            <w:vAlign w:val="bottom"/>
            <w:hideMark/>
          </w:tcPr>
          <w:p w14:paraId="6DEB3F27" w14:textId="77777777" w:rsidR="0087298E" w:rsidRPr="0087298E" w:rsidRDefault="0087298E" w:rsidP="009D0735">
            <w:pPr>
              <w:pStyle w:val="NoSpacing"/>
              <w:rPr>
                <w:lang w:eastAsia="en-GB"/>
              </w:rPr>
            </w:pPr>
            <w:r w:rsidRPr="0087298E">
              <w:rPr>
                <w:lang w:eastAsia="en-GB"/>
              </w:rPr>
              <w:t> </w:t>
            </w:r>
            <w:r w:rsidR="001509AD">
              <w:rPr>
                <w:lang w:eastAsia="en-GB"/>
              </w:rPr>
              <w:t>T</w:t>
            </w:r>
          </w:p>
        </w:tc>
        <w:tc>
          <w:tcPr>
            <w:tcW w:w="6837" w:type="dxa"/>
            <w:tcBorders>
              <w:top w:val="nil"/>
              <w:left w:val="nil"/>
              <w:bottom w:val="single" w:sz="4" w:space="0" w:color="auto"/>
              <w:right w:val="single" w:sz="4" w:space="0" w:color="auto"/>
            </w:tcBorders>
            <w:shd w:val="clear" w:color="auto" w:fill="auto"/>
            <w:noWrap/>
            <w:vAlign w:val="bottom"/>
            <w:hideMark/>
          </w:tcPr>
          <w:p w14:paraId="74E2A8C9" w14:textId="77777777" w:rsidR="0087298E" w:rsidRPr="0087298E" w:rsidRDefault="00613847" w:rsidP="009D0735">
            <w:pPr>
              <w:pStyle w:val="NoSpacing"/>
              <w:rPr>
                <w:lang w:eastAsia="en-GB"/>
              </w:rPr>
            </w:pPr>
            <w:r w:rsidRPr="009D0735">
              <w:rPr>
                <w:b/>
                <w:lang w:eastAsia="en-GB"/>
              </w:rPr>
              <w:t>Number of years’ supply</w:t>
            </w:r>
            <w:r w:rsidR="001509AD">
              <w:rPr>
                <w:lang w:eastAsia="en-GB"/>
              </w:rPr>
              <w:t xml:space="preserve"> </w:t>
            </w:r>
            <w:r w:rsidR="001509AD" w:rsidRPr="001509AD">
              <w:rPr>
                <w:lang w:eastAsia="en-GB"/>
              </w:rPr>
              <w:t>(R / J)</w:t>
            </w:r>
          </w:p>
        </w:tc>
        <w:tc>
          <w:tcPr>
            <w:tcW w:w="1814" w:type="dxa"/>
            <w:tcBorders>
              <w:top w:val="nil"/>
              <w:left w:val="nil"/>
              <w:bottom w:val="single" w:sz="4" w:space="0" w:color="auto"/>
              <w:right w:val="single" w:sz="4" w:space="0" w:color="auto"/>
            </w:tcBorders>
            <w:shd w:val="clear" w:color="auto" w:fill="auto"/>
            <w:noWrap/>
            <w:hideMark/>
          </w:tcPr>
          <w:p w14:paraId="36721D55" w14:textId="498A9770" w:rsidR="0087298E" w:rsidRPr="009D0735" w:rsidRDefault="00E35FEE" w:rsidP="004450EC">
            <w:pPr>
              <w:pStyle w:val="NoSpacing"/>
              <w:jc w:val="right"/>
              <w:rPr>
                <w:b/>
                <w:lang w:eastAsia="en-GB"/>
              </w:rPr>
            </w:pPr>
            <w:r>
              <w:rPr>
                <w:b/>
                <w:lang w:eastAsia="en-GB"/>
              </w:rPr>
              <w:t>7</w:t>
            </w:r>
            <w:r w:rsidR="00704294">
              <w:rPr>
                <w:b/>
                <w:lang w:eastAsia="en-GB"/>
              </w:rPr>
              <w:t>.</w:t>
            </w:r>
            <w:r>
              <w:rPr>
                <w:b/>
                <w:lang w:eastAsia="en-GB"/>
              </w:rPr>
              <w:t>16</w:t>
            </w:r>
            <w:r w:rsidR="0087298E" w:rsidRPr="009D0735">
              <w:rPr>
                <w:b/>
                <w:lang w:eastAsia="en-GB"/>
              </w:rPr>
              <w:t xml:space="preserve"> years</w:t>
            </w:r>
          </w:p>
        </w:tc>
      </w:tr>
    </w:tbl>
    <w:p w14:paraId="2F5D21F2" w14:textId="77777777" w:rsidR="00E35FEE" w:rsidRDefault="00E35FEE" w:rsidP="0054403D"/>
    <w:p w14:paraId="4FF496D7" w14:textId="7EA231CB" w:rsidR="00436CCF" w:rsidRPr="0054403D" w:rsidRDefault="00436CCF" w:rsidP="0054403D">
      <w:r w:rsidRPr="0054403D">
        <w:lastRenderedPageBreak/>
        <w:t>The Warwick District Local Plan makes provision for a minimum of 16,776 new homes between 2011 and 2029.  In total the Local Plan allocates land for 10,659 homes (policy DS10).  The remainder of the new housing is made up from windfall and other suitable sites (policy DS7).</w:t>
      </w:r>
    </w:p>
    <w:p w14:paraId="754B86BA" w14:textId="384FAB46" w:rsidR="00436CCF" w:rsidRPr="0054403D" w:rsidRDefault="00436CCF" w:rsidP="0054403D">
      <w:r w:rsidRPr="0054403D">
        <w:t xml:space="preserve">As well as being required to meet the </w:t>
      </w:r>
      <w:proofErr w:type="gramStart"/>
      <w:r w:rsidRPr="0054403D">
        <w:t>District’s</w:t>
      </w:r>
      <w:proofErr w:type="gramEnd"/>
      <w:r w:rsidRPr="0054403D">
        <w:t xml:space="preserve"> housing needs over the whole plan period, the Council is also expected to ensure that sites come forward in a timely manner and that the District has, at all times, a housing land supply of at least five years.  This requires the Council to make a calculation of what is required based upon the total requirement over the Local Plan period minus any completions that have taken place since the start of the plan period.  It then needs to assess how many homes are likely to be completed over the next five years (in this case from 1st April </w:t>
      </w:r>
      <w:r w:rsidR="00DC7FC2" w:rsidRPr="0054403D">
        <w:t>202</w:t>
      </w:r>
      <w:r w:rsidR="00E35FEE">
        <w:t>3</w:t>
      </w:r>
      <w:r w:rsidR="00DC7FC2" w:rsidRPr="0054403D">
        <w:t xml:space="preserve"> </w:t>
      </w:r>
      <w:r w:rsidRPr="0054403D">
        <w:t xml:space="preserve">to 31st March </w:t>
      </w:r>
      <w:r w:rsidR="00DC7FC2" w:rsidRPr="0054403D">
        <w:t>202</w:t>
      </w:r>
      <w:r w:rsidR="00E35FEE">
        <w:t>8</w:t>
      </w:r>
      <w:r w:rsidRPr="0054403D">
        <w:t>) based on sites with existing planning permission, allocated sites in the Local Plan that are expected to come forward, and other factors.</w:t>
      </w:r>
    </w:p>
    <w:p w14:paraId="6D7C787E" w14:textId="6B8E3560" w:rsidR="00436CCF" w:rsidRPr="0054403D" w:rsidRDefault="00436CCF" w:rsidP="0054403D">
      <w:r w:rsidRPr="0054403D">
        <w:t xml:space="preserve">The Council considers that it has </w:t>
      </w:r>
      <w:r w:rsidR="00413A56">
        <w:t>7</w:t>
      </w:r>
      <w:r w:rsidR="00DC7FC2">
        <w:t>.</w:t>
      </w:r>
      <w:r w:rsidR="00413A56">
        <w:t>16</w:t>
      </w:r>
      <w:r w:rsidRPr="0054403D">
        <w:t xml:space="preserve"> years supply of housing land</w:t>
      </w:r>
      <w:r w:rsidR="00D253AC" w:rsidRPr="0054403D">
        <w:t>.</w:t>
      </w:r>
    </w:p>
    <w:p w14:paraId="5B275B67" w14:textId="77777777" w:rsidR="00535ED0" w:rsidRPr="0054403D" w:rsidRDefault="00535ED0" w:rsidP="0054403D">
      <w:pPr>
        <w:pStyle w:val="Heading3"/>
      </w:pPr>
      <w:r w:rsidRPr="0054403D">
        <w:t xml:space="preserve">Notes on the </w:t>
      </w:r>
      <w:proofErr w:type="gramStart"/>
      <w:r w:rsidRPr="0054403D">
        <w:t xml:space="preserve">5 </w:t>
      </w:r>
      <w:r w:rsidR="00ED22BD" w:rsidRPr="0054403D">
        <w:t>y</w:t>
      </w:r>
      <w:r w:rsidRPr="0054403D">
        <w:t>ear</w:t>
      </w:r>
      <w:proofErr w:type="gramEnd"/>
      <w:r w:rsidRPr="0054403D">
        <w:t xml:space="preserve"> </w:t>
      </w:r>
      <w:r w:rsidR="00ED22BD" w:rsidRPr="0054403D">
        <w:t>r</w:t>
      </w:r>
      <w:r w:rsidRPr="0054403D">
        <w:t>equirement</w:t>
      </w:r>
    </w:p>
    <w:p w14:paraId="0FEA7256" w14:textId="6E876624" w:rsidR="00535ED0" w:rsidRDefault="00C271A3" w:rsidP="0054403D">
      <w:pPr>
        <w:pStyle w:val="ListParagraph"/>
        <w:numPr>
          <w:ilvl w:val="0"/>
          <w:numId w:val="17"/>
        </w:numPr>
      </w:pPr>
      <w:r w:rsidRPr="006763E4">
        <w:rPr>
          <w:b/>
        </w:rPr>
        <w:t>Current requirement:</w:t>
      </w:r>
      <w:r>
        <w:rPr>
          <w:bCs/>
        </w:rPr>
        <w:t xml:space="preserve"> </w:t>
      </w:r>
      <w:r w:rsidR="008B538B" w:rsidRPr="006763E4">
        <w:rPr>
          <w:bCs/>
        </w:rPr>
        <w:t>For the 2023 calculation the housing requirement figure has changed to align with the National Planning Policy Framework (NPPF) and associated national planning practice guidance (NPPG).</w:t>
      </w:r>
      <w:r w:rsidR="008B538B">
        <w:t xml:space="preserve"> </w:t>
      </w:r>
      <w:r w:rsidR="00AE6E58">
        <w:t xml:space="preserve">Para. 74 of the </w:t>
      </w:r>
      <w:r w:rsidR="003D663E">
        <w:t xml:space="preserve">NPPF </w:t>
      </w:r>
      <w:r w:rsidR="00AE6E58">
        <w:t>(2023) states that “Local Planning Authorities should identify and update annually a supply of specific deliverable sites sufficient to provide a minimum of five years’ worth of housing against their housing requirement set out in strategic policies, or against their local housing need where the strategic policies are more than five years old.”</w:t>
      </w:r>
      <w:r w:rsidR="008B538B">
        <w:t xml:space="preserve"> The extant Warwick District Local Plan was adopted on 20</w:t>
      </w:r>
      <w:r w:rsidR="008B538B" w:rsidRPr="006763E4">
        <w:rPr>
          <w:vertAlign w:val="superscript"/>
        </w:rPr>
        <w:t>th</w:t>
      </w:r>
      <w:r w:rsidR="008B538B">
        <w:t xml:space="preserve"> September 2017 and so the </w:t>
      </w:r>
      <w:proofErr w:type="gramStart"/>
      <w:r w:rsidR="008B538B">
        <w:t>five year</w:t>
      </w:r>
      <w:proofErr w:type="gramEnd"/>
      <w:r w:rsidR="008B538B">
        <w:t xml:space="preserve"> period concluded on the 20</w:t>
      </w:r>
      <w:r w:rsidR="008B538B" w:rsidRPr="006763E4">
        <w:rPr>
          <w:vertAlign w:val="superscript"/>
        </w:rPr>
        <w:t>th</w:t>
      </w:r>
      <w:r w:rsidR="008B538B">
        <w:t xml:space="preserve"> September 2022. </w:t>
      </w:r>
      <w:r w:rsidR="003D663E">
        <w:t>The latest Standard Method figure for Warwick District Council is 670 dwelling</w:t>
      </w:r>
      <w:r w:rsidR="002B18CA">
        <w:t>s</w:t>
      </w:r>
      <w:r w:rsidR="003D663E">
        <w:t xml:space="preserve"> per annum. </w:t>
      </w:r>
    </w:p>
    <w:p w14:paraId="552A58FF" w14:textId="47C8F172" w:rsidR="003D663E" w:rsidRDefault="003D663E" w:rsidP="003D663E">
      <w:pPr>
        <w:pStyle w:val="ListParagraph"/>
        <w:numPr>
          <w:ilvl w:val="0"/>
          <w:numId w:val="17"/>
        </w:numPr>
      </w:pPr>
      <w:r>
        <w:rPr>
          <w:b/>
        </w:rPr>
        <w:t>Unmet</w:t>
      </w:r>
      <w:r w:rsidRPr="0054403D">
        <w:rPr>
          <w:b/>
        </w:rPr>
        <w:t xml:space="preserve"> requirement</w:t>
      </w:r>
      <w:r>
        <w:t>: The unmet requirement calculation is based on a staggered annual housing requirement since the start of the plan period.  The requirement was 600 dwellings per annum between 2011 and 2017.  From 1</w:t>
      </w:r>
      <w:r w:rsidRPr="0054403D">
        <w:rPr>
          <w:vertAlign w:val="superscript"/>
        </w:rPr>
        <w:t>st</w:t>
      </w:r>
      <w:r>
        <w:t xml:space="preserve"> April 2017, the annual requirement was 1,098 dwellings per annum.  This reflects the agreement to provide for a part of Coventry’s unmet housing need within the </w:t>
      </w:r>
      <w:proofErr w:type="gramStart"/>
      <w:r>
        <w:t>District</w:t>
      </w:r>
      <w:proofErr w:type="gramEnd"/>
      <w:r>
        <w:t xml:space="preserve">. See Local Plan Exam Document 183 for further details. </w:t>
      </w:r>
    </w:p>
    <w:p w14:paraId="303100A5" w14:textId="291446C6" w:rsidR="00535ED0" w:rsidRPr="00764EAF" w:rsidRDefault="00535ED0" w:rsidP="0054403D">
      <w:pPr>
        <w:pStyle w:val="ListParagraph"/>
        <w:numPr>
          <w:ilvl w:val="0"/>
          <w:numId w:val="17"/>
        </w:numPr>
      </w:pPr>
      <w:r w:rsidRPr="00764EAF">
        <w:rPr>
          <w:b/>
        </w:rPr>
        <w:t xml:space="preserve">5% or 20% </w:t>
      </w:r>
      <w:r w:rsidR="00ED22BD" w:rsidRPr="00764EAF">
        <w:rPr>
          <w:b/>
        </w:rPr>
        <w:t>b</w:t>
      </w:r>
      <w:r w:rsidRPr="00764EAF">
        <w:rPr>
          <w:b/>
        </w:rPr>
        <w:t>uffer?</w:t>
      </w:r>
      <w:r w:rsidR="00C83D53" w:rsidRPr="00764EAF">
        <w:t xml:space="preserve"> </w:t>
      </w:r>
      <w:r w:rsidR="00ED22BD" w:rsidRPr="00764EAF">
        <w:t xml:space="preserve">The </w:t>
      </w:r>
      <w:r w:rsidR="00520B13">
        <w:t xml:space="preserve">(currently unpublished) 2022 </w:t>
      </w:r>
      <w:r w:rsidR="00D253AC" w:rsidRPr="00764EAF">
        <w:t>H</w:t>
      </w:r>
      <w:r w:rsidR="00ED22BD" w:rsidRPr="00764EAF">
        <w:t xml:space="preserve">ousing </w:t>
      </w:r>
      <w:r w:rsidR="00D253AC" w:rsidRPr="00764EAF">
        <w:t>D</w:t>
      </w:r>
      <w:r w:rsidR="00ED22BD" w:rsidRPr="00764EAF">
        <w:t xml:space="preserve">elivery </w:t>
      </w:r>
      <w:r w:rsidR="00D253AC" w:rsidRPr="00764EAF">
        <w:t>T</w:t>
      </w:r>
      <w:r w:rsidR="00ED22BD" w:rsidRPr="00764EAF">
        <w:t>est percentage</w:t>
      </w:r>
      <w:r w:rsidR="00764EAF" w:rsidRPr="00764EAF">
        <w:t xml:space="preserve"> </w:t>
      </w:r>
      <w:r w:rsidR="00520B13">
        <w:t>would be</w:t>
      </w:r>
      <w:r w:rsidR="00733452" w:rsidRPr="00764EAF">
        <w:t xml:space="preserve"> calculated</w:t>
      </w:r>
      <w:r w:rsidR="00ED22BD" w:rsidRPr="00764EAF">
        <w:t xml:space="preserve"> for the three-year per</w:t>
      </w:r>
      <w:r w:rsidR="00D253AC" w:rsidRPr="00764EAF">
        <w:t xml:space="preserve">iod </w:t>
      </w:r>
      <w:r w:rsidR="00AE6E58" w:rsidRPr="00764EAF">
        <w:t>201</w:t>
      </w:r>
      <w:r w:rsidR="00AE6E58">
        <w:t>9</w:t>
      </w:r>
      <w:r w:rsidR="00ED22BD" w:rsidRPr="00764EAF">
        <w:t>/</w:t>
      </w:r>
      <w:r w:rsidR="00AE6E58">
        <w:t>20</w:t>
      </w:r>
      <w:r w:rsidR="00ED22BD" w:rsidRPr="00764EAF">
        <w:t xml:space="preserve"> to </w:t>
      </w:r>
      <w:r w:rsidR="00AE6E58" w:rsidRPr="00764EAF">
        <w:t>20</w:t>
      </w:r>
      <w:r w:rsidR="00AE6E58">
        <w:t>21</w:t>
      </w:r>
      <w:r w:rsidR="00ED22BD" w:rsidRPr="00764EAF">
        <w:t>/</w:t>
      </w:r>
      <w:r w:rsidR="00D253AC" w:rsidRPr="00764EAF">
        <w:t>2</w:t>
      </w:r>
      <w:r w:rsidR="00AE6E58">
        <w:t>2</w:t>
      </w:r>
      <w:r w:rsidR="00764EAF" w:rsidRPr="00764EAF">
        <w:t xml:space="preserve">. The figure is calculated by central government and </w:t>
      </w:r>
      <w:r w:rsidR="00764EAF">
        <w:t xml:space="preserve">will include an allowance for reduced delivery </w:t>
      </w:r>
      <w:proofErr w:type="gramStart"/>
      <w:r w:rsidR="00764EAF">
        <w:t>as a result of</w:t>
      </w:r>
      <w:proofErr w:type="gramEnd"/>
      <w:r w:rsidR="00764EAF">
        <w:t xml:space="preserve"> the Covid-19 pandemic. The figure </w:t>
      </w:r>
      <w:r w:rsidR="00764EAF" w:rsidRPr="00764EAF">
        <w:t xml:space="preserve">is not yet available, but early indications are that it will be </w:t>
      </w:r>
      <w:proofErr w:type="gramStart"/>
      <w:r w:rsidR="00764EAF" w:rsidRPr="00764EAF">
        <w:t>in excess of</w:t>
      </w:r>
      <w:proofErr w:type="gramEnd"/>
      <w:r w:rsidR="00764EAF" w:rsidRPr="00764EAF">
        <w:t xml:space="preserve"> 100%. </w:t>
      </w:r>
      <w:r w:rsidR="00D253AC" w:rsidRPr="00764EAF">
        <w:t xml:space="preserve">The higher 20% buffer would only become applicable should this HDT percentage fall below 85%. </w:t>
      </w:r>
      <w:r w:rsidR="00764EAF" w:rsidRPr="00764EAF">
        <w:t>Warwick District Council believes the</w:t>
      </w:r>
      <w:r w:rsidR="00CD0667" w:rsidRPr="00764EAF">
        <w:t xml:space="preserve"> lower</w:t>
      </w:r>
      <w:r w:rsidR="00ED22BD" w:rsidRPr="00764EAF">
        <w:t xml:space="preserve"> 5% buffer is justified</w:t>
      </w:r>
      <w:r w:rsidR="00DE1D11">
        <w:t xml:space="preserve">, particularly as the 2021/22 housing need target </w:t>
      </w:r>
      <w:r w:rsidR="00B56349">
        <w:t xml:space="preserve">was </w:t>
      </w:r>
      <w:r w:rsidR="00DE1D11">
        <w:t>exceeded.</w:t>
      </w:r>
    </w:p>
    <w:p w14:paraId="62F284A5" w14:textId="628A5FD8" w:rsidR="00535ED0" w:rsidRPr="0054403D" w:rsidRDefault="00535ED0" w:rsidP="0054403D">
      <w:pPr>
        <w:pStyle w:val="ListParagraph"/>
        <w:numPr>
          <w:ilvl w:val="0"/>
          <w:numId w:val="17"/>
        </w:numPr>
        <w:rPr>
          <w:b/>
        </w:rPr>
      </w:pPr>
      <w:r w:rsidRPr="0054403D">
        <w:rPr>
          <w:b/>
        </w:rPr>
        <w:lastRenderedPageBreak/>
        <w:t>Completions 1</w:t>
      </w:r>
      <w:r w:rsidRPr="0054403D">
        <w:rPr>
          <w:b/>
          <w:vertAlign w:val="superscript"/>
        </w:rPr>
        <w:t>st</w:t>
      </w:r>
      <w:r w:rsidRPr="0054403D">
        <w:rPr>
          <w:b/>
        </w:rPr>
        <w:t xml:space="preserve"> April 2011 to 31</w:t>
      </w:r>
      <w:r w:rsidRPr="0054403D">
        <w:rPr>
          <w:b/>
          <w:vertAlign w:val="superscript"/>
        </w:rPr>
        <w:t>st</w:t>
      </w:r>
      <w:r w:rsidRPr="0054403D">
        <w:rPr>
          <w:b/>
        </w:rPr>
        <w:t xml:space="preserve"> March </w:t>
      </w:r>
      <w:r w:rsidR="00DC7FC2" w:rsidRPr="0054403D">
        <w:rPr>
          <w:b/>
        </w:rPr>
        <w:t>202</w:t>
      </w:r>
      <w:r w:rsidR="00B56349">
        <w:rPr>
          <w:b/>
        </w:rPr>
        <w:t>3</w:t>
      </w:r>
      <w:r w:rsidR="00C83D53" w:rsidRPr="00C83D53">
        <w:t xml:space="preserve">: The Housing Trajectory </w:t>
      </w:r>
      <w:r w:rsidR="00DC7FC2" w:rsidRPr="00C83D53">
        <w:t>20</w:t>
      </w:r>
      <w:r w:rsidR="00DC7FC2">
        <w:t>2</w:t>
      </w:r>
      <w:r w:rsidR="00B56349">
        <w:t>3</w:t>
      </w:r>
      <w:r w:rsidR="00DC7FC2" w:rsidRPr="00C83D53">
        <w:t xml:space="preserve"> </w:t>
      </w:r>
      <w:r w:rsidR="00C83D53" w:rsidRPr="00C83D53">
        <w:t xml:space="preserve">shows the annual completions </w:t>
      </w:r>
      <w:r w:rsidR="004C1421">
        <w:t xml:space="preserve">between April 2011 and March </w:t>
      </w:r>
      <w:r w:rsidR="00DC7FC2">
        <w:t>202</w:t>
      </w:r>
      <w:r w:rsidR="00B56349">
        <w:t>3</w:t>
      </w:r>
      <w:r w:rsidR="00C83D53" w:rsidRPr="00C83D53">
        <w:t>. This total</w:t>
      </w:r>
      <w:r w:rsidR="00575E06">
        <w:t>s</w:t>
      </w:r>
      <w:r w:rsidR="00C83D53" w:rsidRPr="00C83D53">
        <w:t xml:space="preserve"> </w:t>
      </w:r>
      <w:r w:rsidR="00B56349">
        <w:t>9,249</w:t>
      </w:r>
      <w:r w:rsidR="00C83D53" w:rsidRPr="00C83D53">
        <w:t xml:space="preserve"> dwellings</w:t>
      </w:r>
      <w:r w:rsidR="00ED22BD">
        <w:t>.</w:t>
      </w:r>
      <w:r w:rsidR="00C83D53" w:rsidRPr="0054403D">
        <w:rPr>
          <w:b/>
        </w:rPr>
        <w:t xml:space="preserve"> </w:t>
      </w:r>
    </w:p>
    <w:p w14:paraId="0CD78B75" w14:textId="77777777" w:rsidR="00535ED0" w:rsidRPr="00535ED0" w:rsidRDefault="00535ED0" w:rsidP="0054403D">
      <w:pPr>
        <w:pStyle w:val="Heading3"/>
      </w:pPr>
      <w:r w:rsidRPr="00535ED0">
        <w:t xml:space="preserve">Notes on the </w:t>
      </w:r>
      <w:proofErr w:type="gramStart"/>
      <w:r w:rsidRPr="00535ED0">
        <w:t>5 year</w:t>
      </w:r>
      <w:proofErr w:type="gramEnd"/>
      <w:r w:rsidRPr="00535ED0">
        <w:t xml:space="preserve"> supply</w:t>
      </w:r>
    </w:p>
    <w:p w14:paraId="440DAEFE" w14:textId="0C08913E" w:rsidR="006A219E" w:rsidRPr="002B6661" w:rsidRDefault="00535ED0" w:rsidP="0054403D">
      <w:pPr>
        <w:pStyle w:val="ListParagraph"/>
        <w:numPr>
          <w:ilvl w:val="0"/>
          <w:numId w:val="18"/>
        </w:numPr>
      </w:pPr>
      <w:r w:rsidRPr="0054403D">
        <w:rPr>
          <w:b/>
        </w:rPr>
        <w:t>Commitments</w:t>
      </w:r>
      <w:r w:rsidR="00390244" w:rsidRPr="0054403D">
        <w:rPr>
          <w:b/>
        </w:rPr>
        <w:t>:</w:t>
      </w:r>
      <w:r w:rsidR="00390244" w:rsidRPr="007A6AA2">
        <w:t xml:space="preserve"> Details of all sites with planning permission as </w:t>
      </w:r>
      <w:proofErr w:type="gramStart"/>
      <w:r w:rsidR="00390244" w:rsidRPr="007A6AA2">
        <w:t>at</w:t>
      </w:r>
      <w:proofErr w:type="gramEnd"/>
      <w:r w:rsidR="00390244" w:rsidRPr="007A6AA2">
        <w:t xml:space="preserve"> 1</w:t>
      </w:r>
      <w:r w:rsidR="00390244" w:rsidRPr="0054403D">
        <w:rPr>
          <w:vertAlign w:val="superscript"/>
        </w:rPr>
        <w:t>st</w:t>
      </w:r>
      <w:r w:rsidR="00390244" w:rsidRPr="007A6AA2">
        <w:t xml:space="preserve"> April </w:t>
      </w:r>
      <w:r w:rsidR="00871F9C" w:rsidRPr="007A6AA2">
        <w:t>20</w:t>
      </w:r>
      <w:r w:rsidR="00871F9C">
        <w:t>2</w:t>
      </w:r>
      <w:r w:rsidR="00B56349">
        <w:t>3</w:t>
      </w:r>
      <w:r w:rsidR="00871F9C" w:rsidRPr="007A6AA2">
        <w:t xml:space="preserve"> </w:t>
      </w:r>
      <w:r w:rsidR="00390244" w:rsidRPr="007A6AA2">
        <w:t xml:space="preserve">are shown in </w:t>
      </w:r>
      <w:r w:rsidR="00ED22BD">
        <w:t>the Housing Trajectory, for both outline and full permissions.</w:t>
      </w:r>
      <w:r w:rsidR="00390244" w:rsidRPr="007A6AA2">
        <w:t xml:space="preserve"> The Trajectory shows the forecast delivery for each site </w:t>
      </w:r>
      <w:r w:rsidR="00ED22BD">
        <w:t>of</w:t>
      </w:r>
      <w:r w:rsidR="00390244" w:rsidRPr="007A6AA2">
        <w:t xml:space="preserve"> 10</w:t>
      </w:r>
      <w:r w:rsidR="00ED22BD">
        <w:t xml:space="preserve"> or more</w:t>
      </w:r>
      <w:r w:rsidR="00390244" w:rsidRPr="007A6AA2">
        <w:t xml:space="preserve"> dwellings. It assumes the </w:t>
      </w:r>
      <w:r w:rsidR="00BC0CE8">
        <w:t>271</w:t>
      </w:r>
      <w:r w:rsidR="00BC0CE8" w:rsidRPr="007A6AA2">
        <w:t xml:space="preserve"> </w:t>
      </w:r>
      <w:r w:rsidR="00390244" w:rsidRPr="007A6AA2">
        <w:t>dwellings on site</w:t>
      </w:r>
      <w:r w:rsidR="00575E06" w:rsidRPr="007A6AA2">
        <w:t>s</w:t>
      </w:r>
      <w:r w:rsidR="00390244" w:rsidRPr="007A6AA2">
        <w:t xml:space="preserve"> of under 10 dwellings are split between</w:t>
      </w:r>
      <w:r w:rsidR="00575E06" w:rsidRPr="007A6AA2">
        <w:t xml:space="preserve"> </w:t>
      </w:r>
      <w:r w:rsidR="009C3F20">
        <w:t>2023/24</w:t>
      </w:r>
      <w:r w:rsidR="00BC0CE8">
        <w:t>,</w:t>
      </w:r>
      <w:r w:rsidR="002B18CA">
        <w:t xml:space="preserve"> </w:t>
      </w:r>
      <w:r w:rsidR="00871F9C">
        <w:t>2024/25</w:t>
      </w:r>
      <w:r w:rsidR="00BC0CE8">
        <w:t xml:space="preserve"> and 2025/26</w:t>
      </w:r>
      <w:r w:rsidR="009C3F20">
        <w:t>.</w:t>
      </w:r>
      <w:r w:rsidR="00575E06" w:rsidRPr="007A6AA2">
        <w:t xml:space="preserve">  In</w:t>
      </w:r>
      <w:r w:rsidR="00390244" w:rsidRPr="007A6AA2">
        <w:t xml:space="preserve"> total these sources (including care homes and student accommodation) are forecast to deliver </w:t>
      </w:r>
      <w:r w:rsidR="00235874">
        <w:t>4,</w:t>
      </w:r>
      <w:r w:rsidR="002B18CA">
        <w:t>84</w:t>
      </w:r>
      <w:r w:rsidR="00890D39">
        <w:t>5</w:t>
      </w:r>
      <w:r w:rsidR="00871F9C" w:rsidRPr="00436CCF">
        <w:t xml:space="preserve"> </w:t>
      </w:r>
      <w:r w:rsidR="00390244" w:rsidRPr="007A6AA2">
        <w:t xml:space="preserve">dwellings within 5 years. No deduction for non-implementation has been applied for the reasons set out in </w:t>
      </w:r>
      <w:hyperlink r:id="rId8" w:history="1">
        <w:r w:rsidR="006A219E" w:rsidRPr="007A6AA2">
          <w:rPr>
            <w:rStyle w:val="Hyperlink"/>
          </w:rPr>
          <w:t>the Council’s Local Matter 3 statement</w:t>
        </w:r>
      </w:hyperlink>
      <w:r w:rsidR="006A219E" w:rsidRPr="007A6AA2">
        <w:t>,</w:t>
      </w:r>
      <w:r w:rsidR="006A219E" w:rsidRPr="002B6661">
        <w:t xml:space="preserve"> section 3.</w:t>
      </w:r>
    </w:p>
    <w:p w14:paraId="63EA7C71" w14:textId="3AC1BF08" w:rsidR="006A219E" w:rsidRPr="009E5CD1" w:rsidRDefault="00535ED0" w:rsidP="0054403D">
      <w:pPr>
        <w:pStyle w:val="ListParagraph"/>
        <w:numPr>
          <w:ilvl w:val="0"/>
          <w:numId w:val="18"/>
        </w:numPr>
      </w:pPr>
      <w:r w:rsidRPr="0054403D">
        <w:rPr>
          <w:b/>
        </w:rPr>
        <w:t>Care Homes and student accommodation</w:t>
      </w:r>
      <w:r w:rsidR="00390244" w:rsidRPr="0054403D">
        <w:rPr>
          <w:b/>
        </w:rPr>
        <w:t>:</w:t>
      </w:r>
      <w:r w:rsidR="00390244" w:rsidRPr="009E5CD1">
        <w:t xml:space="preserve"> The Council has carefully considered the justification for including supply from Care Homes </w:t>
      </w:r>
      <w:r w:rsidR="00862CD5">
        <w:t>and Student Accommodation in</w:t>
      </w:r>
      <w:r w:rsidR="00390244" w:rsidRPr="009E5CD1">
        <w:t xml:space="preserve"> line with the NPPG.  The justific</w:t>
      </w:r>
      <w:r w:rsidR="002B6661" w:rsidRPr="009E5CD1">
        <w:t xml:space="preserve">ation for this is set out in </w:t>
      </w:r>
      <w:hyperlink r:id="rId9" w:history="1">
        <w:r w:rsidR="006A219E" w:rsidRPr="009E5CD1">
          <w:rPr>
            <w:rStyle w:val="Hyperlink"/>
          </w:rPr>
          <w:t>the Council’s Local Matter 3 statement</w:t>
        </w:r>
      </w:hyperlink>
      <w:r w:rsidR="002B6661" w:rsidRPr="009E5CD1">
        <w:t xml:space="preserve">. </w:t>
      </w:r>
      <w:r w:rsidR="007B6200" w:rsidRPr="009E5CD1">
        <w:t>This justification has been subject to scrutiny through the Local Plan Examination.</w:t>
      </w:r>
    </w:p>
    <w:p w14:paraId="761E5793" w14:textId="77777777" w:rsidR="006A219E" w:rsidRPr="002B6661" w:rsidRDefault="00535ED0" w:rsidP="0054403D">
      <w:pPr>
        <w:pStyle w:val="ListParagraph"/>
        <w:numPr>
          <w:ilvl w:val="0"/>
          <w:numId w:val="18"/>
        </w:numPr>
      </w:pPr>
      <w:r w:rsidRPr="0054403D">
        <w:rPr>
          <w:b/>
        </w:rPr>
        <w:t>Small Urban SHLAA Sites</w:t>
      </w:r>
      <w:r w:rsidR="00390244" w:rsidRPr="002B6661">
        <w:t xml:space="preserve">: through the 2015/16 SHLAA </w:t>
      </w:r>
      <w:proofErr w:type="gramStart"/>
      <w:r w:rsidR="00390244" w:rsidRPr="002B6661">
        <w:t>a number of</w:t>
      </w:r>
      <w:proofErr w:type="gramEnd"/>
      <w:r w:rsidR="00390244" w:rsidRPr="002B6661">
        <w:t xml:space="preserve"> sites for between 5 and 50 dwellings within urban areas have been identified. As </w:t>
      </w:r>
      <w:r w:rsidR="007B6200" w:rsidRPr="002B6661">
        <w:t xml:space="preserve">these sites are known about but are too small to allocate and too large to include within a windfalls allowance, they are accounted for separately.  A 10% deduction has been applied to these sites for the reasons set out in the </w:t>
      </w:r>
      <w:hyperlink r:id="rId10" w:history="1">
        <w:r w:rsidR="006A219E" w:rsidRPr="002B6661">
          <w:rPr>
            <w:rStyle w:val="Hyperlink"/>
          </w:rPr>
          <w:t>Council’s Local Matter 3 statement</w:t>
        </w:r>
      </w:hyperlink>
      <w:r w:rsidR="007B6200" w:rsidRPr="002B6661">
        <w:t xml:space="preserve">, </w:t>
      </w:r>
      <w:r w:rsidR="006A219E" w:rsidRPr="002B6661">
        <w:t>section 3</w:t>
      </w:r>
      <w:r w:rsidR="00235874">
        <w:t>.</w:t>
      </w:r>
    </w:p>
    <w:p w14:paraId="34852232" w14:textId="388E3338" w:rsidR="002B6661" w:rsidRDefault="00535ED0" w:rsidP="0054403D">
      <w:pPr>
        <w:pStyle w:val="ListParagraph"/>
        <w:numPr>
          <w:ilvl w:val="0"/>
          <w:numId w:val="18"/>
        </w:numPr>
      </w:pPr>
      <w:r w:rsidRPr="0054403D">
        <w:rPr>
          <w:b/>
        </w:rPr>
        <w:t>Windfalls Allowance</w:t>
      </w:r>
      <w:r w:rsidR="007B6200">
        <w:t>: the Co</w:t>
      </w:r>
      <w:r w:rsidR="00575E06">
        <w:t>uncil has prepared a Windfalls A</w:t>
      </w:r>
      <w:r w:rsidR="007B6200">
        <w:t xml:space="preserve">llowance </w:t>
      </w:r>
      <w:r w:rsidR="007B6200" w:rsidRPr="002B6661">
        <w:t>paper (</w:t>
      </w:r>
      <w:hyperlink r:id="rId11" w:history="1">
        <w:r w:rsidR="002B6661" w:rsidRPr="002B6661">
          <w:rPr>
            <w:rStyle w:val="Hyperlink"/>
          </w:rPr>
          <w:t>HO29PM</w:t>
        </w:r>
      </w:hyperlink>
      <w:r w:rsidR="002B6661" w:rsidRPr="002B6661">
        <w:t xml:space="preserve"> as amended by </w:t>
      </w:r>
      <w:hyperlink r:id="rId12" w:history="1">
        <w:r w:rsidR="002B6661" w:rsidRPr="002B6661">
          <w:rPr>
            <w:rStyle w:val="Hyperlink"/>
          </w:rPr>
          <w:t>Exam 136</w:t>
        </w:r>
      </w:hyperlink>
      <w:r w:rsidR="002B6661" w:rsidRPr="002B6661">
        <w:t xml:space="preserve">) </w:t>
      </w:r>
      <w:r w:rsidR="007B6200" w:rsidRPr="002B6661">
        <w:t xml:space="preserve">which justifies the allowance of </w:t>
      </w:r>
      <w:r w:rsidR="00195445">
        <w:t>505</w:t>
      </w:r>
      <w:r w:rsidR="00195445" w:rsidRPr="002B6661">
        <w:t xml:space="preserve"> </w:t>
      </w:r>
      <w:r w:rsidR="007B6200" w:rsidRPr="002B6661">
        <w:t xml:space="preserve">dwellings </w:t>
      </w:r>
      <w:r w:rsidR="00575E06" w:rsidRPr="002B6661">
        <w:t xml:space="preserve">over the 5 year period. </w:t>
      </w:r>
      <w:r w:rsidR="007B6200" w:rsidRPr="002B6661">
        <w:t xml:space="preserve">  This allowance has been subject to scrutiny through the Local Plan Examination</w:t>
      </w:r>
      <w:r w:rsidR="00195445">
        <w:t xml:space="preserve"> and was addressed in the </w:t>
      </w:r>
      <w:hyperlink r:id="rId13" w:history="1">
        <w:r w:rsidR="00195445" w:rsidRPr="00195445">
          <w:rPr>
            <w:rStyle w:val="Hyperlink"/>
          </w:rPr>
          <w:t>Inspector’s report</w:t>
        </w:r>
      </w:hyperlink>
      <w:r w:rsidR="007B6200">
        <w:t xml:space="preserve">. </w:t>
      </w:r>
    </w:p>
    <w:p w14:paraId="59315868" w14:textId="57B05B8E" w:rsidR="00705B93" w:rsidRDefault="00535ED0" w:rsidP="0054403D">
      <w:pPr>
        <w:pStyle w:val="ListParagraph"/>
        <w:numPr>
          <w:ilvl w:val="0"/>
          <w:numId w:val="18"/>
        </w:numPr>
      </w:pPr>
      <w:r w:rsidRPr="0054403D">
        <w:rPr>
          <w:b/>
        </w:rPr>
        <w:t>Local Plan Allocations</w:t>
      </w:r>
      <w:r w:rsidR="007B6200" w:rsidRPr="00705B93">
        <w:t xml:space="preserve">: The Housing Trajectory shows all Local Plan allocations that do not have planning permission.  Each of these sites has been subject to detailed consideration through the Local Plan Examination including the delivery trajectory.  </w:t>
      </w:r>
      <w:r w:rsidR="009067B8">
        <w:t>T</w:t>
      </w:r>
      <w:r w:rsidR="00ED22BD">
        <w:t xml:space="preserve">he </w:t>
      </w:r>
      <w:r w:rsidR="00195445">
        <w:t>202</w:t>
      </w:r>
      <w:r w:rsidR="00E81DA1">
        <w:t>3</w:t>
      </w:r>
      <w:r w:rsidR="00195445" w:rsidRPr="00705B93">
        <w:t xml:space="preserve"> </w:t>
      </w:r>
      <w:r w:rsidR="00705B93" w:rsidRPr="00705B93">
        <w:t>trajectory</w:t>
      </w:r>
      <w:r w:rsidR="009067B8">
        <w:t xml:space="preserve"> incorporates the latest updates provided by</w:t>
      </w:r>
      <w:r w:rsidR="00705B93" w:rsidRPr="00705B93">
        <w:t xml:space="preserve"> site promoters and developers.</w:t>
      </w:r>
    </w:p>
    <w:p w14:paraId="55197DA6" w14:textId="77777777" w:rsidR="008420DD" w:rsidRDefault="008420DD" w:rsidP="0054403D"/>
    <w:p w14:paraId="4DF62A69" w14:textId="77777777" w:rsidR="008420DD" w:rsidRDefault="008420DD" w:rsidP="0054403D">
      <w:r>
        <w:t>Warwick District Council</w:t>
      </w:r>
    </w:p>
    <w:p w14:paraId="77C5E791" w14:textId="23B547A8" w:rsidR="008420DD" w:rsidRPr="004450EC" w:rsidRDefault="00BC0CE8" w:rsidP="0054403D">
      <w:r>
        <w:t>October 2023</w:t>
      </w:r>
    </w:p>
    <w:sectPr w:rsidR="008420DD" w:rsidRPr="004450EC" w:rsidSect="002B6661">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12F0" w14:textId="77777777" w:rsidR="00DE6CCB" w:rsidRDefault="00DE6CCB" w:rsidP="0054403D">
      <w:r>
        <w:separator/>
      </w:r>
    </w:p>
  </w:endnote>
  <w:endnote w:type="continuationSeparator" w:id="0">
    <w:p w14:paraId="363919A6" w14:textId="77777777" w:rsidR="00DE6CCB" w:rsidRDefault="00DE6CCB" w:rsidP="0054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real-Regular">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ontreal-DemiBold">
    <w:altName w:val="Times New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B4A5B" w14:textId="77777777" w:rsidR="00DE6CCB" w:rsidRDefault="00DE6CCB" w:rsidP="0054403D">
      <w:r>
        <w:separator/>
      </w:r>
    </w:p>
  </w:footnote>
  <w:footnote w:type="continuationSeparator" w:id="0">
    <w:p w14:paraId="4EB03031" w14:textId="77777777" w:rsidR="00DE6CCB" w:rsidRDefault="00DE6CCB" w:rsidP="0054403D">
      <w:r>
        <w:continuationSeparator/>
      </w:r>
    </w:p>
  </w:footnote>
  <w:footnote w:id="1">
    <w:p w14:paraId="65551D14" w14:textId="2836723C" w:rsidR="004E7210" w:rsidRPr="0095779C" w:rsidRDefault="004E7210">
      <w:pPr>
        <w:pStyle w:val="FootnoteText"/>
        <w:rPr>
          <w:sz w:val="18"/>
          <w:szCs w:val="18"/>
        </w:rPr>
      </w:pPr>
      <w:r w:rsidRPr="0095779C">
        <w:rPr>
          <w:rStyle w:val="FootnoteReference"/>
          <w:sz w:val="18"/>
          <w:szCs w:val="18"/>
        </w:rPr>
        <w:footnoteRef/>
      </w:r>
      <w:r w:rsidRPr="0095779C">
        <w:rPr>
          <w:sz w:val="18"/>
          <w:szCs w:val="18"/>
        </w:rPr>
        <w:t xml:space="preserve"> Based on the Standard Method, as per the requirements set out in the NPPF and NPPG</w:t>
      </w:r>
      <w:r w:rsidR="0095779C" w:rsidRPr="0095779C">
        <w:rPr>
          <w:sz w:val="18"/>
          <w:szCs w:val="18"/>
        </w:rPr>
        <w:t xml:space="preserve"> and the </w:t>
      </w:r>
      <w:r w:rsidR="002B18CA">
        <w:rPr>
          <w:sz w:val="18"/>
          <w:szCs w:val="18"/>
        </w:rPr>
        <w:t>adopted Local P</w:t>
      </w:r>
      <w:r w:rsidR="0095779C" w:rsidRPr="0095779C">
        <w:rPr>
          <w:sz w:val="18"/>
          <w:szCs w:val="18"/>
        </w:rPr>
        <w:t xml:space="preserve">lan </w:t>
      </w:r>
      <w:r w:rsidR="002B18CA">
        <w:rPr>
          <w:sz w:val="18"/>
          <w:szCs w:val="18"/>
        </w:rPr>
        <w:t>being more than 5 years old</w:t>
      </w:r>
    </w:p>
  </w:footnote>
  <w:footnote w:id="2">
    <w:p w14:paraId="026FF116" w14:textId="77777777" w:rsidR="00E86CED" w:rsidRPr="00862CD5" w:rsidRDefault="00E86CED" w:rsidP="00E86CED">
      <w:pPr>
        <w:pStyle w:val="FootnoteText"/>
        <w:rPr>
          <w:lang w:val="en-US"/>
        </w:rPr>
      </w:pPr>
      <w:r w:rsidRPr="0095779C">
        <w:rPr>
          <w:rStyle w:val="FootnoteReference"/>
          <w:sz w:val="18"/>
          <w:szCs w:val="18"/>
        </w:rPr>
        <w:footnoteRef/>
      </w:r>
      <w:r w:rsidRPr="0095779C">
        <w:rPr>
          <w:sz w:val="18"/>
          <w:szCs w:val="18"/>
        </w:rPr>
        <w:t xml:space="preserve"> The calculations in this table use unrounded </w:t>
      </w:r>
      <w:r w:rsidRPr="0095779C">
        <w:rPr>
          <w:sz w:val="18"/>
          <w:szCs w:val="18"/>
          <w:lang w:val="en-US"/>
        </w:rPr>
        <w:t>figures (see the Housing Trajectory Excel sheet for details); summing the rounded figures presented here may result in errors.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427"/>
    <w:multiLevelType w:val="hybridMultilevel"/>
    <w:tmpl w:val="EA7C5742"/>
    <w:lvl w:ilvl="0" w:tplc="CB82ED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013F0"/>
    <w:multiLevelType w:val="hybridMultilevel"/>
    <w:tmpl w:val="05FCF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B23545"/>
    <w:multiLevelType w:val="hybridMultilevel"/>
    <w:tmpl w:val="C1767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075C7F"/>
    <w:multiLevelType w:val="hybridMultilevel"/>
    <w:tmpl w:val="D5047638"/>
    <w:lvl w:ilvl="0" w:tplc="F3D494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DF4D21"/>
    <w:multiLevelType w:val="hybridMultilevel"/>
    <w:tmpl w:val="497684E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757CEF"/>
    <w:multiLevelType w:val="hybridMultilevel"/>
    <w:tmpl w:val="852A10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920E6"/>
    <w:multiLevelType w:val="hybridMultilevel"/>
    <w:tmpl w:val="9320C782"/>
    <w:lvl w:ilvl="0" w:tplc="6602E416">
      <w:start w:val="1"/>
      <w:numFmt w:val="bullet"/>
      <w:pStyle w:val="LPBullet0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442551"/>
    <w:multiLevelType w:val="hybridMultilevel"/>
    <w:tmpl w:val="A4141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24119B"/>
    <w:multiLevelType w:val="hybridMultilevel"/>
    <w:tmpl w:val="52167D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57D8D"/>
    <w:multiLevelType w:val="hybridMultilevel"/>
    <w:tmpl w:val="E5D015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2061A4"/>
    <w:multiLevelType w:val="multilevel"/>
    <w:tmpl w:val="190C56CE"/>
    <w:lvl w:ilvl="0">
      <w:start w:val="4"/>
      <w:numFmt w:val="decimal"/>
      <w:pStyle w:val="LPH1"/>
      <w:lvlText w:val="%1"/>
      <w:lvlJc w:val="left"/>
      <w:pPr>
        <w:ind w:left="680" w:hanging="680"/>
      </w:pPr>
      <w:rPr>
        <w:rFonts w:ascii="Montreal-Regular" w:hAnsi="Montreal-Regular" w:hint="default"/>
        <w:color w:val="84286B"/>
        <w:sz w:val="48"/>
      </w:rPr>
    </w:lvl>
    <w:lvl w:ilvl="1">
      <w:start w:val="1"/>
      <w:numFmt w:val="decimal"/>
      <w:pStyle w:val="LPH2"/>
      <w:lvlText w:val="%1.%2"/>
      <w:lvlJc w:val="left"/>
      <w:pPr>
        <w:ind w:left="1106" w:hanging="680"/>
      </w:pPr>
      <w:rPr>
        <w:rFonts w:hint="default"/>
        <w:b w:val="0"/>
        <w:i w:val="0"/>
      </w:rPr>
    </w:lvl>
    <w:lvl w:ilvl="2">
      <w:start w:val="1"/>
      <w:numFmt w:val="decimal"/>
      <w:pStyle w:val="LPH3"/>
      <w:lvlText w:val="%1.%2.%3"/>
      <w:lvlJc w:val="left"/>
      <w:pPr>
        <w:ind w:left="680" w:hanging="680"/>
      </w:pPr>
      <w:rPr>
        <w:rFonts w:hint="default"/>
      </w:rPr>
    </w:lvl>
    <w:lvl w:ilvl="3">
      <w:start w:val="1"/>
      <w:numFmt w:val="decimal"/>
      <w:lvlText w:val="%1.%4"/>
      <w:lvlJc w:val="left"/>
      <w:pPr>
        <w:ind w:left="680" w:hanging="680"/>
      </w:pPr>
      <w:rPr>
        <w:rFonts w:hint="default"/>
        <w:b/>
        <w:i w:val="0"/>
      </w:rPr>
    </w:lvl>
    <w:lvl w:ilvl="4">
      <w:start w:val="1"/>
      <w:numFmt w:val="decimal"/>
      <w:pStyle w:val="LPH-Map"/>
      <w:suff w:val="nothing"/>
      <w:lvlText w:val="Map %5: "/>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6697970"/>
    <w:multiLevelType w:val="hybridMultilevel"/>
    <w:tmpl w:val="2F4A91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4372729">
    <w:abstractNumId w:val="10"/>
  </w:num>
  <w:num w:numId="2" w16cid:durableId="590167565">
    <w:abstractNumId w:val="10"/>
  </w:num>
  <w:num w:numId="3" w16cid:durableId="374352406">
    <w:abstractNumId w:val="10"/>
  </w:num>
  <w:num w:numId="4" w16cid:durableId="1638754616">
    <w:abstractNumId w:val="10"/>
  </w:num>
  <w:num w:numId="5" w16cid:durableId="1885824178">
    <w:abstractNumId w:val="6"/>
  </w:num>
  <w:num w:numId="6" w16cid:durableId="43339653">
    <w:abstractNumId w:val="10"/>
  </w:num>
  <w:num w:numId="7" w16cid:durableId="1016923222">
    <w:abstractNumId w:val="10"/>
  </w:num>
  <w:num w:numId="8" w16cid:durableId="1683314842">
    <w:abstractNumId w:val="10"/>
  </w:num>
  <w:num w:numId="9" w16cid:durableId="793062373">
    <w:abstractNumId w:val="10"/>
  </w:num>
  <w:num w:numId="10" w16cid:durableId="1851682360">
    <w:abstractNumId w:val="6"/>
  </w:num>
  <w:num w:numId="11" w16cid:durableId="2105419564">
    <w:abstractNumId w:val="9"/>
  </w:num>
  <w:num w:numId="12" w16cid:durableId="1032389602">
    <w:abstractNumId w:val="2"/>
  </w:num>
  <w:num w:numId="13" w16cid:durableId="57629997">
    <w:abstractNumId w:val="4"/>
  </w:num>
  <w:num w:numId="14" w16cid:durableId="201132785">
    <w:abstractNumId w:val="5"/>
  </w:num>
  <w:num w:numId="15" w16cid:durableId="2086296192">
    <w:abstractNumId w:val="0"/>
  </w:num>
  <w:num w:numId="16" w16cid:durableId="275914078">
    <w:abstractNumId w:val="3"/>
  </w:num>
  <w:num w:numId="17" w16cid:durableId="621426085">
    <w:abstractNumId w:val="7"/>
  </w:num>
  <w:num w:numId="18" w16cid:durableId="543257334">
    <w:abstractNumId w:val="1"/>
  </w:num>
  <w:num w:numId="19" w16cid:durableId="1378778724">
    <w:abstractNumId w:val="11"/>
  </w:num>
  <w:num w:numId="20" w16cid:durableId="1145662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8E"/>
    <w:rsid w:val="00035682"/>
    <w:rsid w:val="000526F8"/>
    <w:rsid w:val="00094D4A"/>
    <w:rsid w:val="00146B08"/>
    <w:rsid w:val="001509AD"/>
    <w:rsid w:val="0015508F"/>
    <w:rsid w:val="00160FFB"/>
    <w:rsid w:val="00163354"/>
    <w:rsid w:val="00195445"/>
    <w:rsid w:val="00230417"/>
    <w:rsid w:val="00235874"/>
    <w:rsid w:val="002B18CA"/>
    <w:rsid w:val="002B6661"/>
    <w:rsid w:val="002C7E12"/>
    <w:rsid w:val="003479A7"/>
    <w:rsid w:val="00365DF0"/>
    <w:rsid w:val="00390244"/>
    <w:rsid w:val="003922A3"/>
    <w:rsid w:val="0039758A"/>
    <w:rsid w:val="003D663E"/>
    <w:rsid w:val="003F7A27"/>
    <w:rsid w:val="00413A56"/>
    <w:rsid w:val="00436CCF"/>
    <w:rsid w:val="004450EC"/>
    <w:rsid w:val="004C1421"/>
    <w:rsid w:val="004C6174"/>
    <w:rsid w:val="004E7210"/>
    <w:rsid w:val="00520B13"/>
    <w:rsid w:val="00535ED0"/>
    <w:rsid w:val="0054403D"/>
    <w:rsid w:val="00575E06"/>
    <w:rsid w:val="005975A1"/>
    <w:rsid w:val="005B48F3"/>
    <w:rsid w:val="005D4F8C"/>
    <w:rsid w:val="005E77E8"/>
    <w:rsid w:val="00600B82"/>
    <w:rsid w:val="00613847"/>
    <w:rsid w:val="00644793"/>
    <w:rsid w:val="00645F8D"/>
    <w:rsid w:val="006763E4"/>
    <w:rsid w:val="006A219E"/>
    <w:rsid w:val="00704294"/>
    <w:rsid w:val="00705B93"/>
    <w:rsid w:val="00726C96"/>
    <w:rsid w:val="00733452"/>
    <w:rsid w:val="00744EDD"/>
    <w:rsid w:val="00746480"/>
    <w:rsid w:val="00751625"/>
    <w:rsid w:val="00764EAF"/>
    <w:rsid w:val="0078734C"/>
    <w:rsid w:val="007A329C"/>
    <w:rsid w:val="007A6AA2"/>
    <w:rsid w:val="007B1935"/>
    <w:rsid w:val="007B6200"/>
    <w:rsid w:val="007D09E9"/>
    <w:rsid w:val="008420DD"/>
    <w:rsid w:val="00862CD5"/>
    <w:rsid w:val="00871F9C"/>
    <w:rsid w:val="0087298E"/>
    <w:rsid w:val="00890A05"/>
    <w:rsid w:val="00890D39"/>
    <w:rsid w:val="008A3555"/>
    <w:rsid w:val="008B538B"/>
    <w:rsid w:val="008D0BB0"/>
    <w:rsid w:val="008D44D5"/>
    <w:rsid w:val="008E1EFB"/>
    <w:rsid w:val="009067B8"/>
    <w:rsid w:val="0095779C"/>
    <w:rsid w:val="00973159"/>
    <w:rsid w:val="009904BF"/>
    <w:rsid w:val="009A128B"/>
    <w:rsid w:val="009C3F20"/>
    <w:rsid w:val="009D0735"/>
    <w:rsid w:val="009D2EC4"/>
    <w:rsid w:val="009E5CD1"/>
    <w:rsid w:val="00A17CA4"/>
    <w:rsid w:val="00AD30D6"/>
    <w:rsid w:val="00AE6E58"/>
    <w:rsid w:val="00AF519A"/>
    <w:rsid w:val="00B30903"/>
    <w:rsid w:val="00B56349"/>
    <w:rsid w:val="00B63594"/>
    <w:rsid w:val="00B71C81"/>
    <w:rsid w:val="00BC0CE8"/>
    <w:rsid w:val="00BD25C1"/>
    <w:rsid w:val="00C271A3"/>
    <w:rsid w:val="00C82658"/>
    <w:rsid w:val="00C83D53"/>
    <w:rsid w:val="00CD0667"/>
    <w:rsid w:val="00D253AC"/>
    <w:rsid w:val="00D72DF6"/>
    <w:rsid w:val="00DC43E7"/>
    <w:rsid w:val="00DC7FC2"/>
    <w:rsid w:val="00DD3659"/>
    <w:rsid w:val="00DE1D11"/>
    <w:rsid w:val="00DE32E3"/>
    <w:rsid w:val="00DE6CCB"/>
    <w:rsid w:val="00E35FEE"/>
    <w:rsid w:val="00E444EA"/>
    <w:rsid w:val="00E81DA1"/>
    <w:rsid w:val="00E86CED"/>
    <w:rsid w:val="00ED22BD"/>
    <w:rsid w:val="00EF4F5E"/>
    <w:rsid w:val="00F22A52"/>
    <w:rsid w:val="00FC2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A479D6F"/>
  <w15:docId w15:val="{03B5F973-F815-4042-8C2A-3B18117E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3D"/>
    <w:rPr>
      <w:sz w:val="24"/>
    </w:rPr>
  </w:style>
  <w:style w:type="paragraph" w:styleId="Heading1">
    <w:name w:val="heading 1"/>
    <w:basedOn w:val="Normal"/>
    <w:next w:val="Normal"/>
    <w:link w:val="Heading1Char"/>
    <w:uiPriority w:val="9"/>
    <w:qFormat/>
    <w:rsid w:val="008E1EFB"/>
    <w:pPr>
      <w:keepNext/>
      <w:keepLines/>
      <w:spacing w:after="0"/>
      <w:outlineLvl w:val="0"/>
    </w:pPr>
    <w:rPr>
      <w:rFonts w:eastAsia="Times New Roman" w:cstheme="minorHAnsi"/>
      <w:b/>
      <w:sz w:val="36"/>
      <w:szCs w:val="32"/>
      <w:lang w:eastAsia="en-GB"/>
    </w:rPr>
  </w:style>
  <w:style w:type="paragraph" w:styleId="Heading2">
    <w:name w:val="heading 2"/>
    <w:basedOn w:val="Normal"/>
    <w:next w:val="Normal"/>
    <w:link w:val="Heading2Char"/>
    <w:uiPriority w:val="9"/>
    <w:unhideWhenUsed/>
    <w:qFormat/>
    <w:rsid w:val="008E1EFB"/>
    <w:pPr>
      <w:keepNext/>
      <w:keepLines/>
      <w:spacing w:after="0"/>
      <w:outlineLvl w:val="1"/>
    </w:pPr>
    <w:rPr>
      <w:rFonts w:eastAsia="Times New Roman" w:cstheme="minorHAnsi"/>
      <w:b/>
      <w:sz w:val="28"/>
      <w:szCs w:val="26"/>
      <w:lang w:eastAsia="en-GB"/>
    </w:rPr>
  </w:style>
  <w:style w:type="paragraph" w:styleId="Heading3">
    <w:name w:val="heading 3"/>
    <w:basedOn w:val="Normal"/>
    <w:next w:val="Normal"/>
    <w:link w:val="Heading3Char"/>
    <w:uiPriority w:val="9"/>
    <w:unhideWhenUsed/>
    <w:qFormat/>
    <w:rsid w:val="0054403D"/>
    <w:pPr>
      <w:keepNext/>
      <w:keepLines/>
      <w:spacing w:before="40" w:after="0"/>
      <w:outlineLvl w:val="2"/>
    </w:pPr>
    <w:rPr>
      <w:rFonts w:eastAsiaTheme="majorEastAsia" w:cstheme="minorHAns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H1">
    <w:name w:val="LP H1"/>
    <w:basedOn w:val="Normal"/>
    <w:next w:val="Normal"/>
    <w:qFormat/>
    <w:rsid w:val="00600B82"/>
    <w:pPr>
      <w:numPr>
        <w:numId w:val="9"/>
      </w:numPr>
      <w:pBdr>
        <w:bottom w:val="single" w:sz="12" w:space="11" w:color="84286B"/>
      </w:pBdr>
      <w:spacing w:before="240" w:after="240" w:line="336" w:lineRule="auto"/>
    </w:pPr>
    <w:rPr>
      <w:rFonts w:ascii="Montreal-Regular" w:hAnsi="Montreal-Regular" w:cs="Calibri"/>
      <w:color w:val="84286B"/>
      <w:spacing w:val="8"/>
      <w:sz w:val="48"/>
    </w:rPr>
  </w:style>
  <w:style w:type="paragraph" w:customStyle="1" w:styleId="LPH2">
    <w:name w:val="LP H2"/>
    <w:basedOn w:val="Normal"/>
    <w:qFormat/>
    <w:rsid w:val="00600B82"/>
    <w:pPr>
      <w:numPr>
        <w:ilvl w:val="1"/>
        <w:numId w:val="9"/>
      </w:numPr>
      <w:spacing w:after="240" w:line="336" w:lineRule="auto"/>
    </w:pPr>
    <w:rPr>
      <w:rFonts w:ascii="Montreal-Regular" w:hAnsi="Montreal-Regular" w:cs="Calibri"/>
      <w:spacing w:val="8"/>
      <w:sz w:val="20"/>
    </w:rPr>
  </w:style>
  <w:style w:type="paragraph" w:customStyle="1" w:styleId="LPH3">
    <w:name w:val="LP H3"/>
    <w:basedOn w:val="Normal"/>
    <w:qFormat/>
    <w:rsid w:val="00600B82"/>
    <w:pPr>
      <w:numPr>
        <w:ilvl w:val="2"/>
        <w:numId w:val="9"/>
      </w:numPr>
      <w:spacing w:after="240" w:line="336" w:lineRule="auto"/>
    </w:pPr>
    <w:rPr>
      <w:rFonts w:ascii="Montreal-Regular" w:hAnsi="Montreal-Regular" w:cs="Calibri"/>
      <w:spacing w:val="8"/>
      <w:sz w:val="20"/>
    </w:rPr>
  </w:style>
  <w:style w:type="paragraph" w:customStyle="1" w:styleId="LPH-Map">
    <w:name w:val="LP H-Map"/>
    <w:basedOn w:val="LPH3"/>
    <w:next w:val="Normal"/>
    <w:qFormat/>
    <w:rsid w:val="00600B82"/>
    <w:pPr>
      <w:numPr>
        <w:ilvl w:val="4"/>
      </w:numPr>
    </w:pPr>
    <w:rPr>
      <w:color w:val="84286B"/>
      <w:sz w:val="48"/>
    </w:rPr>
  </w:style>
  <w:style w:type="paragraph" w:customStyle="1" w:styleId="LPH-Small">
    <w:name w:val="LP H-Small"/>
    <w:next w:val="Normal"/>
    <w:qFormat/>
    <w:rsid w:val="00600B82"/>
    <w:rPr>
      <w:rFonts w:ascii="Montreal-DemiBold" w:hAnsi="Montreal-DemiBold" w:cs="Calibri"/>
      <w:color w:val="84286B"/>
      <w:spacing w:val="8"/>
      <w:sz w:val="20"/>
    </w:rPr>
  </w:style>
  <w:style w:type="paragraph" w:customStyle="1" w:styleId="LPBullet01">
    <w:name w:val="LP Bullet 01"/>
    <w:basedOn w:val="ListParagraph"/>
    <w:qFormat/>
    <w:rsid w:val="00600B82"/>
    <w:pPr>
      <w:numPr>
        <w:numId w:val="10"/>
      </w:numPr>
      <w:spacing w:after="240" w:line="336" w:lineRule="auto"/>
      <w:contextualSpacing w:val="0"/>
    </w:pPr>
    <w:rPr>
      <w:rFonts w:ascii="Montreal-Regular" w:hAnsi="Montreal-Regular" w:cs="Calibri"/>
      <w:spacing w:val="8"/>
      <w:sz w:val="20"/>
    </w:rPr>
  </w:style>
  <w:style w:type="paragraph" w:styleId="ListParagraph">
    <w:name w:val="List Paragraph"/>
    <w:basedOn w:val="Normal"/>
    <w:uiPriority w:val="34"/>
    <w:qFormat/>
    <w:rsid w:val="00600B82"/>
    <w:pPr>
      <w:ind w:left="720"/>
      <w:contextualSpacing/>
    </w:pPr>
  </w:style>
  <w:style w:type="character" w:styleId="SubtleReference">
    <w:name w:val="Subtle Reference"/>
    <w:basedOn w:val="DefaultParagraphFont"/>
    <w:uiPriority w:val="31"/>
    <w:qFormat/>
    <w:rsid w:val="00600B82"/>
    <w:rPr>
      <w:smallCaps/>
      <w:color w:val="C0504D" w:themeColor="accent2"/>
      <w:u w:val="single"/>
    </w:rPr>
  </w:style>
  <w:style w:type="character" w:styleId="Hyperlink">
    <w:name w:val="Hyperlink"/>
    <w:basedOn w:val="DefaultParagraphFont"/>
    <w:uiPriority w:val="99"/>
    <w:unhideWhenUsed/>
    <w:rsid w:val="006A219E"/>
    <w:rPr>
      <w:color w:val="0000FF" w:themeColor="hyperlink"/>
      <w:u w:val="single"/>
    </w:rPr>
  </w:style>
  <w:style w:type="paragraph" w:styleId="Header">
    <w:name w:val="header"/>
    <w:basedOn w:val="Normal"/>
    <w:link w:val="HeaderChar"/>
    <w:uiPriority w:val="99"/>
    <w:unhideWhenUsed/>
    <w:rsid w:val="00DE32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2E3"/>
  </w:style>
  <w:style w:type="paragraph" w:styleId="Footer">
    <w:name w:val="footer"/>
    <w:basedOn w:val="Normal"/>
    <w:link w:val="FooterChar"/>
    <w:uiPriority w:val="99"/>
    <w:unhideWhenUsed/>
    <w:rsid w:val="00DE32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2E3"/>
  </w:style>
  <w:style w:type="character" w:styleId="CommentReference">
    <w:name w:val="annotation reference"/>
    <w:basedOn w:val="DefaultParagraphFont"/>
    <w:uiPriority w:val="99"/>
    <w:semiHidden/>
    <w:unhideWhenUsed/>
    <w:rsid w:val="009904BF"/>
    <w:rPr>
      <w:sz w:val="16"/>
      <w:szCs w:val="16"/>
    </w:rPr>
  </w:style>
  <w:style w:type="paragraph" w:styleId="CommentText">
    <w:name w:val="annotation text"/>
    <w:basedOn w:val="Normal"/>
    <w:link w:val="CommentTextChar"/>
    <w:uiPriority w:val="99"/>
    <w:semiHidden/>
    <w:unhideWhenUsed/>
    <w:rsid w:val="009904BF"/>
    <w:pPr>
      <w:spacing w:line="240" w:lineRule="auto"/>
    </w:pPr>
    <w:rPr>
      <w:sz w:val="20"/>
      <w:szCs w:val="20"/>
    </w:rPr>
  </w:style>
  <w:style w:type="character" w:customStyle="1" w:styleId="CommentTextChar">
    <w:name w:val="Comment Text Char"/>
    <w:basedOn w:val="DefaultParagraphFont"/>
    <w:link w:val="CommentText"/>
    <w:uiPriority w:val="99"/>
    <w:semiHidden/>
    <w:rsid w:val="009904BF"/>
    <w:rPr>
      <w:sz w:val="20"/>
      <w:szCs w:val="20"/>
    </w:rPr>
  </w:style>
  <w:style w:type="paragraph" w:styleId="CommentSubject">
    <w:name w:val="annotation subject"/>
    <w:basedOn w:val="CommentText"/>
    <w:next w:val="CommentText"/>
    <w:link w:val="CommentSubjectChar"/>
    <w:uiPriority w:val="99"/>
    <w:semiHidden/>
    <w:unhideWhenUsed/>
    <w:rsid w:val="009904BF"/>
    <w:rPr>
      <w:b/>
      <w:bCs/>
    </w:rPr>
  </w:style>
  <w:style w:type="character" w:customStyle="1" w:styleId="CommentSubjectChar">
    <w:name w:val="Comment Subject Char"/>
    <w:basedOn w:val="CommentTextChar"/>
    <w:link w:val="CommentSubject"/>
    <w:uiPriority w:val="99"/>
    <w:semiHidden/>
    <w:rsid w:val="009904BF"/>
    <w:rPr>
      <w:b/>
      <w:bCs/>
      <w:sz w:val="20"/>
      <w:szCs w:val="20"/>
    </w:rPr>
  </w:style>
  <w:style w:type="paragraph" w:styleId="BalloonText">
    <w:name w:val="Balloon Text"/>
    <w:basedOn w:val="Normal"/>
    <w:link w:val="BalloonTextChar"/>
    <w:uiPriority w:val="99"/>
    <w:semiHidden/>
    <w:unhideWhenUsed/>
    <w:rsid w:val="009904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4BF"/>
    <w:rPr>
      <w:rFonts w:ascii="Tahoma" w:hAnsi="Tahoma" w:cs="Tahoma"/>
      <w:sz w:val="16"/>
      <w:szCs w:val="16"/>
    </w:rPr>
  </w:style>
  <w:style w:type="character" w:styleId="FollowedHyperlink">
    <w:name w:val="FollowedHyperlink"/>
    <w:basedOn w:val="DefaultParagraphFont"/>
    <w:uiPriority w:val="99"/>
    <w:semiHidden/>
    <w:unhideWhenUsed/>
    <w:rsid w:val="00ED22BD"/>
    <w:rPr>
      <w:color w:val="800080" w:themeColor="followedHyperlink"/>
      <w:u w:val="single"/>
    </w:rPr>
  </w:style>
  <w:style w:type="paragraph" w:styleId="FootnoteText">
    <w:name w:val="footnote text"/>
    <w:basedOn w:val="Normal"/>
    <w:link w:val="FootnoteTextChar"/>
    <w:uiPriority w:val="99"/>
    <w:unhideWhenUsed/>
    <w:rsid w:val="00862CD5"/>
    <w:pPr>
      <w:spacing w:after="0" w:line="240" w:lineRule="auto"/>
    </w:pPr>
    <w:rPr>
      <w:sz w:val="20"/>
      <w:szCs w:val="20"/>
    </w:rPr>
  </w:style>
  <w:style w:type="character" w:customStyle="1" w:styleId="FootnoteTextChar">
    <w:name w:val="Footnote Text Char"/>
    <w:basedOn w:val="DefaultParagraphFont"/>
    <w:link w:val="FootnoteText"/>
    <w:uiPriority w:val="99"/>
    <w:rsid w:val="00862CD5"/>
    <w:rPr>
      <w:sz w:val="20"/>
      <w:szCs w:val="20"/>
    </w:rPr>
  </w:style>
  <w:style w:type="character" w:styleId="FootnoteReference">
    <w:name w:val="footnote reference"/>
    <w:basedOn w:val="DefaultParagraphFont"/>
    <w:uiPriority w:val="99"/>
    <w:semiHidden/>
    <w:unhideWhenUsed/>
    <w:rsid w:val="00862CD5"/>
    <w:rPr>
      <w:vertAlign w:val="superscript"/>
    </w:rPr>
  </w:style>
  <w:style w:type="paragraph" w:styleId="Title">
    <w:name w:val="Title"/>
    <w:basedOn w:val="Normal"/>
    <w:next w:val="Normal"/>
    <w:link w:val="TitleChar"/>
    <w:uiPriority w:val="10"/>
    <w:qFormat/>
    <w:rsid w:val="008E1EFB"/>
    <w:pPr>
      <w:spacing w:after="0" w:line="240" w:lineRule="auto"/>
      <w:contextualSpacing/>
      <w:jc w:val="center"/>
    </w:pPr>
    <w:rPr>
      <w:rFonts w:eastAsiaTheme="majorEastAsia" w:cstheme="minorHAnsi"/>
      <w:b/>
      <w:spacing w:val="-10"/>
      <w:kern w:val="28"/>
      <w:sz w:val="40"/>
      <w:szCs w:val="56"/>
    </w:rPr>
  </w:style>
  <w:style w:type="character" w:customStyle="1" w:styleId="TitleChar">
    <w:name w:val="Title Char"/>
    <w:basedOn w:val="DefaultParagraphFont"/>
    <w:link w:val="Title"/>
    <w:uiPriority w:val="10"/>
    <w:rsid w:val="008E1EFB"/>
    <w:rPr>
      <w:rFonts w:eastAsiaTheme="majorEastAsia" w:cstheme="minorHAnsi"/>
      <w:b/>
      <w:spacing w:val="-10"/>
      <w:kern w:val="28"/>
      <w:sz w:val="40"/>
      <w:szCs w:val="56"/>
    </w:rPr>
  </w:style>
  <w:style w:type="character" w:customStyle="1" w:styleId="Heading1Char">
    <w:name w:val="Heading 1 Char"/>
    <w:basedOn w:val="DefaultParagraphFont"/>
    <w:link w:val="Heading1"/>
    <w:uiPriority w:val="9"/>
    <w:rsid w:val="008E1EFB"/>
    <w:rPr>
      <w:rFonts w:eastAsia="Times New Roman" w:cstheme="minorHAnsi"/>
      <w:b/>
      <w:sz w:val="36"/>
      <w:szCs w:val="32"/>
      <w:lang w:eastAsia="en-GB"/>
    </w:rPr>
  </w:style>
  <w:style w:type="character" w:customStyle="1" w:styleId="Heading2Char">
    <w:name w:val="Heading 2 Char"/>
    <w:basedOn w:val="DefaultParagraphFont"/>
    <w:link w:val="Heading2"/>
    <w:uiPriority w:val="9"/>
    <w:rsid w:val="008E1EFB"/>
    <w:rPr>
      <w:rFonts w:eastAsia="Times New Roman" w:cstheme="minorHAnsi"/>
      <w:b/>
      <w:sz w:val="28"/>
      <w:szCs w:val="26"/>
      <w:lang w:eastAsia="en-GB"/>
    </w:rPr>
  </w:style>
  <w:style w:type="character" w:customStyle="1" w:styleId="Heading3Char">
    <w:name w:val="Heading 3 Char"/>
    <w:basedOn w:val="DefaultParagraphFont"/>
    <w:link w:val="Heading3"/>
    <w:uiPriority w:val="9"/>
    <w:rsid w:val="0054403D"/>
    <w:rPr>
      <w:rFonts w:eastAsiaTheme="majorEastAsia" w:cstheme="minorHAnsi"/>
      <w:b/>
      <w:sz w:val="24"/>
      <w:szCs w:val="24"/>
    </w:rPr>
  </w:style>
  <w:style w:type="paragraph" w:styleId="NoSpacing">
    <w:name w:val="No Spacing"/>
    <w:uiPriority w:val="1"/>
    <w:qFormat/>
    <w:rsid w:val="009D0735"/>
    <w:pPr>
      <w:spacing w:after="0" w:line="240" w:lineRule="auto"/>
    </w:pPr>
    <w:rPr>
      <w:sz w:val="24"/>
    </w:rPr>
  </w:style>
  <w:style w:type="paragraph" w:styleId="Revision">
    <w:name w:val="Revision"/>
    <w:hidden/>
    <w:uiPriority w:val="99"/>
    <w:semiHidden/>
    <w:rsid w:val="0015508F"/>
    <w:pPr>
      <w:spacing w:after="0" w:line="240" w:lineRule="auto"/>
    </w:pPr>
    <w:rPr>
      <w:sz w:val="24"/>
    </w:rPr>
  </w:style>
  <w:style w:type="character" w:styleId="UnresolvedMention">
    <w:name w:val="Unresolved Mention"/>
    <w:basedOn w:val="DefaultParagraphFont"/>
    <w:uiPriority w:val="99"/>
    <w:semiHidden/>
    <w:unhideWhenUsed/>
    <w:rsid w:val="00195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dc.gov.uk/downloads/file/3577/matter_3_written_statement_-_supply_and_delivery_of_housing_land_-_warwick_district_council" TargetMode="External"/><Relationship Id="rId13" Type="http://schemas.openxmlformats.org/officeDocument/2006/relationships/hyperlink" Target="https://www.warwickdc.gov.uk/downloads/download/964/inspectors_report_fin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rwickdc.gov.uk/downloads/file/4131/exam_136_-_wdc_matter_3_submission_-_updated_tables_for_windfalls_pap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rwickdc.gov.uk/downloads/file/3347/ho29pm_-_local_plan_windfall_allowance_june_2016_fin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rwickdc.gov.uk/downloads/file/3577/matter_3_written_statement_-_supply_and_delivery_of_housing_land_-_warwick_district_council" TargetMode="External"/><Relationship Id="rId4" Type="http://schemas.openxmlformats.org/officeDocument/2006/relationships/settings" Target="settings.xml"/><Relationship Id="rId9" Type="http://schemas.openxmlformats.org/officeDocument/2006/relationships/hyperlink" Target="https://www.warwickdc.gov.uk/downloads/file/3577/matter_3_written_statement_-_supply_and_delivery_of_housing_land_-_warwick_district_counc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F79CA-DEF2-4BC1-8779-01BBE67A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367</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Barber</dc:creator>
  <cp:lastModifiedBy>Adam James</cp:lastModifiedBy>
  <cp:revision>9</cp:revision>
  <cp:lastPrinted>2018-08-31T11:45:00Z</cp:lastPrinted>
  <dcterms:created xsi:type="dcterms:W3CDTF">2023-10-12T11:00:00Z</dcterms:created>
  <dcterms:modified xsi:type="dcterms:W3CDTF">2023-10-17T14:11:00Z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2022-12-02T13:43:31Z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0fb2b401-648a-42b6-b142-4d4f15a1261b</vt:lpwstr>
  </property>
  <property fmtid="{D5CDD505-2E9C-101B-9397-08002B2CF9AE}" pid="8" name="MSIP_Label_c6f64b5a-70e3-4d13-98dc-9c006fabbb8e_ContentBits">
    <vt:lpwstr>0</vt:lpwstr>
  </property>
</Properties>
</file>