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2F150" w14:textId="6BA10D62" w:rsidR="00C34447" w:rsidRDefault="00CA3EFE" w:rsidP="00E04B61">
      <w:pPr>
        <w:spacing w:after="0" w:line="240" w:lineRule="auto"/>
        <w:jc w:val="center"/>
        <w:rPr>
          <w:rFonts w:ascii="Verdana" w:hAnsi="Verdana"/>
          <w:b/>
          <w:szCs w:val="20"/>
          <w:u w:val="single"/>
        </w:rPr>
      </w:pPr>
      <w:r>
        <w:rPr>
          <w:noProof/>
          <w:lang w:val="en-US"/>
        </w:rPr>
        <w:drawing>
          <wp:inline distT="0" distB="0" distL="0" distR="0" wp14:anchorId="488475A3" wp14:editId="1CA1C5A9">
            <wp:extent cx="1216025" cy="768350"/>
            <wp:effectExtent l="0" t="0" r="3175" b="0"/>
            <wp:docPr id="4" name="Picture 4" title="Warwick District Council Logo"/>
            <wp:cNvGraphicFramePr/>
            <a:graphic xmlns:a="http://schemas.openxmlformats.org/drawingml/2006/main">
              <a:graphicData uri="http://schemas.openxmlformats.org/drawingml/2006/picture">
                <pic:pic xmlns:pic="http://schemas.openxmlformats.org/drawingml/2006/picture">
                  <pic:nvPicPr>
                    <pic:cNvPr id="2" name="Picture 2" title="Warwick District Council Logo"/>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6025" cy="768350"/>
                    </a:xfrm>
                    <a:prstGeom prst="rect">
                      <a:avLst/>
                    </a:prstGeom>
                    <a:noFill/>
                    <a:ln>
                      <a:noFill/>
                    </a:ln>
                  </pic:spPr>
                </pic:pic>
              </a:graphicData>
            </a:graphic>
          </wp:inline>
        </w:drawing>
      </w:r>
    </w:p>
    <w:p w14:paraId="5658C73D" w14:textId="77777777" w:rsidR="00C34447" w:rsidRDefault="00C34447" w:rsidP="00E04B61">
      <w:pPr>
        <w:spacing w:after="0" w:line="240" w:lineRule="auto"/>
        <w:jc w:val="center"/>
        <w:rPr>
          <w:rFonts w:ascii="Verdana" w:hAnsi="Verdana"/>
          <w:b/>
          <w:szCs w:val="20"/>
          <w:u w:val="single"/>
        </w:rPr>
      </w:pPr>
    </w:p>
    <w:p w14:paraId="4061797A" w14:textId="28C82093" w:rsidR="00651B24" w:rsidRPr="00651B24" w:rsidRDefault="00651B24" w:rsidP="00651B24">
      <w:pPr>
        <w:jc w:val="center"/>
        <w:rPr>
          <w:rFonts w:ascii="Verdana" w:hAnsi="Verdana"/>
          <w:b/>
        </w:rPr>
      </w:pPr>
      <w:r w:rsidRPr="00651B24">
        <w:rPr>
          <w:rFonts w:ascii="Verdana" w:hAnsi="Verdana"/>
          <w:b/>
        </w:rPr>
        <w:t>Protocol between the Monitoring Officer of Warwick District Council and Warwickshire Police</w:t>
      </w:r>
    </w:p>
    <w:p w14:paraId="767E0805" w14:textId="46A45D8D" w:rsidR="00651B24" w:rsidRDefault="00651B24" w:rsidP="009E1622">
      <w:pPr>
        <w:spacing w:after="0" w:line="240" w:lineRule="auto"/>
        <w:rPr>
          <w:rFonts w:ascii="Verdana" w:hAnsi="Verdana"/>
        </w:rPr>
      </w:pPr>
      <w:r w:rsidRPr="00651B24">
        <w:rPr>
          <w:rFonts w:ascii="Verdana" w:hAnsi="Verdana"/>
        </w:rPr>
        <w:t>Section 34 of the Localism Act 2011 (The Act) sets out summary offences relating to elected and co-opted Councillors who fail to disclose or register a Disclosable Pecuniary Interest (DPI), or where they participate in a meeting when they have a DPI in the absence of being granted a dispensation.</w:t>
      </w:r>
    </w:p>
    <w:p w14:paraId="2AA5BB12" w14:textId="77777777" w:rsidR="009E1622" w:rsidRPr="00651B24" w:rsidRDefault="009E1622" w:rsidP="009E1622">
      <w:pPr>
        <w:spacing w:after="0" w:line="240" w:lineRule="auto"/>
        <w:rPr>
          <w:rFonts w:ascii="Verdana" w:hAnsi="Verdana"/>
        </w:rPr>
      </w:pPr>
    </w:p>
    <w:p w14:paraId="5C06ABB0" w14:textId="03391FC6" w:rsidR="00651B24" w:rsidRDefault="00651B24" w:rsidP="009E1622">
      <w:pPr>
        <w:spacing w:after="0" w:line="240" w:lineRule="auto"/>
        <w:rPr>
          <w:rFonts w:ascii="Verdana" w:hAnsi="Verdana"/>
        </w:rPr>
      </w:pPr>
      <w:r w:rsidRPr="00651B24">
        <w:rPr>
          <w:rFonts w:ascii="Verdana" w:hAnsi="Verdana"/>
        </w:rPr>
        <w:t xml:space="preserve">The DPI interests are detailed in the Relevant Authorities (Disclosable Pecuniary Interests) Regulations 2012. Prosecution of these offences is by the Police by virtue of section 34(5) of the Act. </w:t>
      </w:r>
    </w:p>
    <w:p w14:paraId="4184A241" w14:textId="77777777" w:rsidR="009E1622" w:rsidRPr="00651B24" w:rsidRDefault="009E1622" w:rsidP="009E1622">
      <w:pPr>
        <w:spacing w:after="0" w:line="240" w:lineRule="auto"/>
        <w:rPr>
          <w:rFonts w:ascii="Verdana" w:hAnsi="Verdana"/>
        </w:rPr>
      </w:pPr>
    </w:p>
    <w:p w14:paraId="0ED5B76E" w14:textId="6EFB9D14" w:rsidR="00E74DC8" w:rsidRPr="00651B24" w:rsidRDefault="00651B24" w:rsidP="009E1622">
      <w:pPr>
        <w:spacing w:after="0" w:line="240" w:lineRule="auto"/>
        <w:rPr>
          <w:rFonts w:ascii="Verdana" w:hAnsi="Verdana"/>
        </w:rPr>
      </w:pPr>
      <w:r w:rsidRPr="00651B24">
        <w:rPr>
          <w:rFonts w:ascii="Verdana" w:hAnsi="Verdana"/>
        </w:rPr>
        <w:t xml:space="preserve">The Monitoring Officer </w:t>
      </w:r>
      <w:r w:rsidR="00E17FB3">
        <w:rPr>
          <w:rFonts w:ascii="Verdana" w:hAnsi="Verdana"/>
        </w:rPr>
        <w:t xml:space="preserve">at </w:t>
      </w:r>
      <w:r w:rsidRPr="00651B24">
        <w:rPr>
          <w:rFonts w:ascii="Verdana" w:hAnsi="Verdana"/>
        </w:rPr>
        <w:t>Warwick District Council (WDC) and Warwickshire Police have agreed this Protocol relating to reporting processes and information sharing for potential criminal offences arising under section 34 of the Act, as follows:</w:t>
      </w:r>
    </w:p>
    <w:p w14:paraId="206BD1D7" w14:textId="77777777" w:rsidR="00651B24" w:rsidRPr="00651B24" w:rsidRDefault="00651B24" w:rsidP="009E1622">
      <w:pPr>
        <w:pStyle w:val="NormalWeb"/>
        <w:spacing w:before="0" w:beforeAutospacing="0" w:after="0" w:afterAutospacing="0"/>
        <w:ind w:left="720"/>
        <w:rPr>
          <w:rFonts w:ascii="Verdana" w:hAnsi="Verdana"/>
          <w:sz w:val="22"/>
          <w:szCs w:val="22"/>
        </w:rPr>
      </w:pPr>
    </w:p>
    <w:p w14:paraId="3B3E7847" w14:textId="6C20F378" w:rsidR="00651B24" w:rsidRPr="00FF2F2D" w:rsidRDefault="00651B24" w:rsidP="009E1622">
      <w:pPr>
        <w:pStyle w:val="NormalWeb"/>
        <w:numPr>
          <w:ilvl w:val="0"/>
          <w:numId w:val="2"/>
        </w:numPr>
        <w:spacing w:before="0" w:beforeAutospacing="0" w:after="0" w:afterAutospacing="0"/>
        <w:ind w:left="567" w:hanging="567"/>
        <w:rPr>
          <w:rFonts w:ascii="Verdana" w:hAnsi="Verdana"/>
          <w:sz w:val="22"/>
          <w:szCs w:val="22"/>
        </w:rPr>
      </w:pPr>
      <w:proofErr w:type="gramStart"/>
      <w:r w:rsidRPr="00FF2F2D">
        <w:rPr>
          <w:rFonts w:ascii="Verdana" w:hAnsi="Verdana"/>
          <w:sz w:val="22"/>
          <w:szCs w:val="22"/>
        </w:rPr>
        <w:t>In the event that</w:t>
      </w:r>
      <w:proofErr w:type="gramEnd"/>
      <w:r w:rsidRPr="00FF2F2D">
        <w:rPr>
          <w:rFonts w:ascii="Verdana" w:hAnsi="Verdana"/>
          <w:sz w:val="22"/>
          <w:szCs w:val="22"/>
        </w:rPr>
        <w:t xml:space="preserve"> the Monitoring Officer receives a complaint regarding a potential DPI offence they will make immediate contact with the Police through the nominated single point of contact</w:t>
      </w:r>
      <w:r w:rsidR="00E17FB3">
        <w:rPr>
          <w:rFonts w:ascii="Verdana" w:hAnsi="Verdana"/>
          <w:sz w:val="22"/>
          <w:szCs w:val="22"/>
        </w:rPr>
        <w:t>,</w:t>
      </w:r>
      <w:r w:rsidRPr="00FF2F2D">
        <w:rPr>
          <w:rFonts w:ascii="Verdana" w:hAnsi="Verdana"/>
          <w:sz w:val="22"/>
          <w:szCs w:val="22"/>
        </w:rPr>
        <w:t xml:space="preserve"> who is the District Commander for South Warwickshire.</w:t>
      </w:r>
    </w:p>
    <w:p w14:paraId="34B7ABB6" w14:textId="77777777" w:rsidR="00651B24" w:rsidRPr="00651B24" w:rsidRDefault="00651B24" w:rsidP="009E1622">
      <w:pPr>
        <w:pStyle w:val="ListParagraph"/>
        <w:spacing w:after="0" w:line="240" w:lineRule="auto"/>
        <w:ind w:left="567" w:hanging="567"/>
        <w:contextualSpacing w:val="0"/>
        <w:rPr>
          <w:rFonts w:ascii="Verdana" w:hAnsi="Verdana"/>
        </w:rPr>
      </w:pPr>
    </w:p>
    <w:p w14:paraId="0059B792" w14:textId="0F817563" w:rsidR="00651B24" w:rsidRPr="00651B24" w:rsidRDefault="00FF2F2D" w:rsidP="009E1622">
      <w:pPr>
        <w:pStyle w:val="NormalWeb"/>
        <w:numPr>
          <w:ilvl w:val="0"/>
          <w:numId w:val="2"/>
        </w:numPr>
        <w:spacing w:before="0" w:beforeAutospacing="0" w:after="0" w:afterAutospacing="0"/>
        <w:ind w:left="567" w:hanging="567"/>
        <w:rPr>
          <w:rFonts w:ascii="Verdana" w:hAnsi="Verdana"/>
          <w:sz w:val="22"/>
          <w:szCs w:val="22"/>
        </w:rPr>
      </w:pPr>
      <w:r>
        <w:rPr>
          <w:rFonts w:ascii="Verdana" w:hAnsi="Verdana"/>
          <w:sz w:val="22"/>
          <w:szCs w:val="22"/>
        </w:rPr>
        <w:t xml:space="preserve">The </w:t>
      </w:r>
      <w:r w:rsidR="0047556E" w:rsidRPr="00651B24">
        <w:rPr>
          <w:rFonts w:ascii="Verdana" w:hAnsi="Verdana"/>
          <w:sz w:val="22"/>
          <w:szCs w:val="22"/>
        </w:rPr>
        <w:t>Police will register the complai</w:t>
      </w:r>
      <w:r w:rsidR="00651B24" w:rsidRPr="00651B24">
        <w:rPr>
          <w:rFonts w:ascii="Verdana" w:hAnsi="Verdana"/>
          <w:sz w:val="22"/>
          <w:szCs w:val="22"/>
        </w:rPr>
        <w:t xml:space="preserve">nt and will advise the </w:t>
      </w:r>
      <w:r w:rsidR="0047556E" w:rsidRPr="00651B24">
        <w:rPr>
          <w:rFonts w:ascii="Verdana" w:hAnsi="Verdana"/>
          <w:sz w:val="22"/>
          <w:szCs w:val="22"/>
        </w:rPr>
        <w:t>Monitoring Officer if they wish to be involved at this stage.  This will normally follow an initial assessment of the complaint by the Monitoring Officer and the</w:t>
      </w:r>
      <w:r w:rsidR="00E04B61" w:rsidRPr="00651B24">
        <w:rPr>
          <w:rFonts w:ascii="Verdana" w:hAnsi="Verdana"/>
          <w:sz w:val="22"/>
          <w:szCs w:val="22"/>
        </w:rPr>
        <w:t>m</w:t>
      </w:r>
      <w:r w:rsidR="000F12A3" w:rsidRPr="00651B24">
        <w:rPr>
          <w:rFonts w:ascii="Verdana" w:hAnsi="Verdana"/>
          <w:sz w:val="22"/>
          <w:szCs w:val="22"/>
        </w:rPr>
        <w:t xml:space="preserve"> being satisfied that there is prima </w:t>
      </w:r>
      <w:r w:rsidR="00825076" w:rsidRPr="00651B24">
        <w:rPr>
          <w:rFonts w:ascii="Verdana" w:hAnsi="Verdana"/>
          <w:sz w:val="22"/>
          <w:szCs w:val="22"/>
        </w:rPr>
        <w:t>facie</w:t>
      </w:r>
      <w:r w:rsidR="000F12A3" w:rsidRPr="00651B24">
        <w:rPr>
          <w:rFonts w:ascii="Verdana" w:hAnsi="Verdana"/>
          <w:sz w:val="22"/>
          <w:szCs w:val="22"/>
        </w:rPr>
        <w:t xml:space="preserve"> evidence that a criminal offence may have been committed.  </w:t>
      </w:r>
    </w:p>
    <w:p w14:paraId="0CE40A6C" w14:textId="77777777" w:rsidR="00651B24" w:rsidRPr="00651B24" w:rsidRDefault="00651B24" w:rsidP="009E1622">
      <w:pPr>
        <w:pStyle w:val="ListParagraph"/>
        <w:spacing w:after="0" w:line="240" w:lineRule="auto"/>
        <w:ind w:left="567" w:hanging="567"/>
        <w:contextualSpacing w:val="0"/>
        <w:rPr>
          <w:rFonts w:ascii="Verdana" w:hAnsi="Verdana"/>
        </w:rPr>
      </w:pPr>
    </w:p>
    <w:p w14:paraId="53E69C41" w14:textId="03E77022" w:rsidR="00FF2F2D" w:rsidRDefault="00825076" w:rsidP="009E1622">
      <w:pPr>
        <w:pStyle w:val="NormalWeb"/>
        <w:numPr>
          <w:ilvl w:val="0"/>
          <w:numId w:val="2"/>
        </w:numPr>
        <w:spacing w:before="0" w:beforeAutospacing="0" w:after="0" w:afterAutospacing="0"/>
        <w:ind w:left="567" w:hanging="567"/>
        <w:rPr>
          <w:rFonts w:ascii="Verdana" w:hAnsi="Verdana"/>
          <w:sz w:val="22"/>
          <w:szCs w:val="22"/>
        </w:rPr>
      </w:pPr>
      <w:r w:rsidRPr="00651B24">
        <w:rPr>
          <w:rFonts w:ascii="Verdana" w:hAnsi="Verdana"/>
          <w:sz w:val="22"/>
          <w:szCs w:val="22"/>
        </w:rPr>
        <w:t xml:space="preserve">In undertaking an initial assessment as to whether there is prima facie evidence of </w:t>
      </w:r>
      <w:r w:rsidR="00651B24">
        <w:rPr>
          <w:rFonts w:ascii="Verdana" w:hAnsi="Verdana"/>
          <w:sz w:val="22"/>
          <w:szCs w:val="22"/>
        </w:rPr>
        <w:t xml:space="preserve">a criminal offence the </w:t>
      </w:r>
      <w:r w:rsidRPr="00651B24">
        <w:rPr>
          <w:rFonts w:ascii="Verdana" w:hAnsi="Verdana"/>
          <w:sz w:val="22"/>
          <w:szCs w:val="22"/>
        </w:rPr>
        <w:t xml:space="preserve">Monitoring Officer may conduct an interview with the complainant but will not approach the </w:t>
      </w:r>
      <w:r w:rsidR="003366FC" w:rsidRPr="00651B24">
        <w:rPr>
          <w:rFonts w:ascii="Verdana" w:hAnsi="Verdana"/>
          <w:sz w:val="22"/>
          <w:szCs w:val="22"/>
        </w:rPr>
        <w:t>M</w:t>
      </w:r>
      <w:r w:rsidRPr="00651B24">
        <w:rPr>
          <w:rFonts w:ascii="Verdana" w:hAnsi="Verdana"/>
          <w:sz w:val="22"/>
          <w:szCs w:val="22"/>
        </w:rPr>
        <w:t>ember</w:t>
      </w:r>
      <w:r w:rsidR="004D792E" w:rsidRPr="00651B24">
        <w:rPr>
          <w:rFonts w:ascii="Verdana" w:hAnsi="Verdana"/>
          <w:sz w:val="22"/>
          <w:szCs w:val="22"/>
        </w:rPr>
        <w:t xml:space="preserve"> who is </w:t>
      </w:r>
      <w:r w:rsidRPr="00651B24">
        <w:rPr>
          <w:rFonts w:ascii="Verdana" w:hAnsi="Verdana"/>
          <w:sz w:val="22"/>
          <w:szCs w:val="22"/>
        </w:rPr>
        <w:t xml:space="preserve">the subject of the complaint until the Police have been advised of the matter and </w:t>
      </w:r>
      <w:r w:rsidR="004D792E" w:rsidRPr="00651B24">
        <w:rPr>
          <w:rFonts w:ascii="Verdana" w:hAnsi="Verdana"/>
          <w:sz w:val="22"/>
          <w:szCs w:val="22"/>
        </w:rPr>
        <w:t xml:space="preserve">have </w:t>
      </w:r>
      <w:r w:rsidRPr="00651B24">
        <w:rPr>
          <w:rFonts w:ascii="Verdana" w:hAnsi="Verdana"/>
          <w:sz w:val="22"/>
          <w:szCs w:val="22"/>
        </w:rPr>
        <w:t>indicated how they wish to proceed.</w:t>
      </w:r>
      <w:r w:rsidR="004D792E" w:rsidRPr="00651B24">
        <w:rPr>
          <w:rFonts w:ascii="Verdana" w:hAnsi="Verdana"/>
          <w:sz w:val="22"/>
          <w:szCs w:val="22"/>
        </w:rPr>
        <w:t xml:space="preserve">  </w:t>
      </w:r>
    </w:p>
    <w:p w14:paraId="60C571B6" w14:textId="7D587316" w:rsidR="00FF2F2D" w:rsidRPr="00FF2F2D" w:rsidRDefault="00FF2F2D" w:rsidP="009E1622">
      <w:pPr>
        <w:pStyle w:val="NormalWeb"/>
        <w:spacing w:before="0" w:beforeAutospacing="0" w:after="0" w:afterAutospacing="0"/>
        <w:ind w:left="567" w:hanging="567"/>
        <w:rPr>
          <w:rFonts w:ascii="Verdana" w:hAnsi="Verdana"/>
          <w:sz w:val="22"/>
          <w:szCs w:val="22"/>
        </w:rPr>
      </w:pPr>
    </w:p>
    <w:p w14:paraId="2EB0E8FA" w14:textId="45C60120" w:rsidR="00FF2F2D" w:rsidRPr="00FF2F2D" w:rsidRDefault="00FF2F2D" w:rsidP="009E1622">
      <w:pPr>
        <w:pStyle w:val="NormalWeb"/>
        <w:numPr>
          <w:ilvl w:val="0"/>
          <w:numId w:val="2"/>
        </w:numPr>
        <w:spacing w:before="0" w:beforeAutospacing="0" w:after="0" w:afterAutospacing="0"/>
        <w:ind w:left="567" w:hanging="567"/>
        <w:rPr>
          <w:rFonts w:ascii="Verdana" w:hAnsi="Verdana"/>
          <w:sz w:val="22"/>
          <w:szCs w:val="22"/>
        </w:rPr>
      </w:pPr>
      <w:r w:rsidRPr="00651B24">
        <w:rPr>
          <w:rFonts w:ascii="Verdana" w:hAnsi="Verdana"/>
          <w:sz w:val="22"/>
          <w:szCs w:val="22"/>
        </w:rPr>
        <w:t xml:space="preserve">If the Police receive a complaint from a member of the public they will inform the Monitoring Officer of WDC of </w:t>
      </w:r>
      <w:r>
        <w:rPr>
          <w:rFonts w:ascii="Verdana" w:hAnsi="Verdana"/>
          <w:sz w:val="22"/>
          <w:szCs w:val="22"/>
        </w:rPr>
        <w:t>the receipt of the</w:t>
      </w:r>
      <w:r w:rsidRPr="00651B24">
        <w:rPr>
          <w:rFonts w:ascii="Verdana" w:hAnsi="Verdana"/>
          <w:sz w:val="22"/>
          <w:szCs w:val="22"/>
        </w:rPr>
        <w:t xml:space="preserve"> complaint.</w:t>
      </w:r>
      <w:r>
        <w:rPr>
          <w:rFonts w:ascii="Verdana" w:hAnsi="Verdana"/>
          <w:sz w:val="22"/>
          <w:szCs w:val="22"/>
        </w:rPr>
        <w:t xml:space="preserve"> T</w:t>
      </w:r>
      <w:r w:rsidRPr="00FF2F2D">
        <w:rPr>
          <w:rFonts w:ascii="Verdana" w:hAnsi="Verdana"/>
          <w:sz w:val="22"/>
          <w:szCs w:val="22"/>
        </w:rPr>
        <w:t>he Police will conduct an initial assessment of the complaint but may approach the Monitoring Officer for background information on the complaint.</w:t>
      </w:r>
    </w:p>
    <w:p w14:paraId="625548A6" w14:textId="77777777" w:rsidR="00651B24" w:rsidRDefault="00651B24" w:rsidP="009E1622">
      <w:pPr>
        <w:pStyle w:val="ListParagraph"/>
        <w:spacing w:after="0" w:line="240" w:lineRule="auto"/>
        <w:ind w:left="567" w:hanging="567"/>
        <w:contextualSpacing w:val="0"/>
        <w:rPr>
          <w:rFonts w:ascii="Verdana" w:hAnsi="Verdana"/>
        </w:rPr>
      </w:pPr>
    </w:p>
    <w:p w14:paraId="6E8C1AC6" w14:textId="01ECAF16" w:rsidR="00354C3C" w:rsidRDefault="00354C3C" w:rsidP="009E1622">
      <w:pPr>
        <w:pStyle w:val="NormalWeb"/>
        <w:numPr>
          <w:ilvl w:val="0"/>
          <w:numId w:val="2"/>
        </w:numPr>
        <w:spacing w:before="0" w:beforeAutospacing="0" w:after="0" w:afterAutospacing="0"/>
        <w:ind w:left="567" w:hanging="567"/>
        <w:rPr>
          <w:rFonts w:ascii="Verdana" w:hAnsi="Verdana"/>
          <w:sz w:val="22"/>
          <w:szCs w:val="22"/>
        </w:rPr>
      </w:pPr>
      <w:r>
        <w:rPr>
          <w:rFonts w:ascii="Verdana" w:hAnsi="Verdana"/>
          <w:sz w:val="22"/>
          <w:szCs w:val="22"/>
        </w:rPr>
        <w:t>When the Police are investigating the matter WDC will, normally, pause the work on the Code of Conduct matter until the Police have concluded their work.</w:t>
      </w:r>
    </w:p>
    <w:p w14:paraId="70058979" w14:textId="77777777" w:rsidR="00354C3C" w:rsidRDefault="00354C3C" w:rsidP="00345FED">
      <w:pPr>
        <w:pStyle w:val="NormalWeb"/>
        <w:spacing w:before="0" w:beforeAutospacing="0" w:after="0" w:afterAutospacing="0"/>
        <w:rPr>
          <w:rFonts w:ascii="Verdana" w:hAnsi="Verdana"/>
          <w:sz w:val="22"/>
          <w:szCs w:val="22"/>
        </w:rPr>
      </w:pPr>
    </w:p>
    <w:p w14:paraId="60311AB5" w14:textId="6D4AEDA7" w:rsidR="00651B24" w:rsidRDefault="000F12A3" w:rsidP="009E1622">
      <w:pPr>
        <w:pStyle w:val="NormalWeb"/>
        <w:numPr>
          <w:ilvl w:val="0"/>
          <w:numId w:val="2"/>
        </w:numPr>
        <w:spacing w:before="0" w:beforeAutospacing="0" w:after="0" w:afterAutospacing="0"/>
        <w:ind w:left="567" w:hanging="567"/>
        <w:rPr>
          <w:rFonts w:ascii="Verdana" w:hAnsi="Verdana"/>
          <w:sz w:val="22"/>
          <w:szCs w:val="22"/>
        </w:rPr>
      </w:pPr>
      <w:r w:rsidRPr="00651B24">
        <w:rPr>
          <w:rFonts w:ascii="Verdana" w:hAnsi="Verdana"/>
          <w:sz w:val="22"/>
          <w:szCs w:val="22"/>
        </w:rPr>
        <w:t xml:space="preserve">If the Police decide </w:t>
      </w:r>
      <w:r w:rsidR="00A0606D" w:rsidRPr="00651B24">
        <w:rPr>
          <w:rFonts w:ascii="Verdana" w:hAnsi="Verdana"/>
          <w:sz w:val="22"/>
          <w:szCs w:val="22"/>
        </w:rPr>
        <w:t>not to prosecute in the public interest they will</w:t>
      </w:r>
      <w:r w:rsidR="00E04B61" w:rsidRPr="00651B24">
        <w:rPr>
          <w:rFonts w:ascii="Verdana" w:hAnsi="Verdana"/>
          <w:sz w:val="22"/>
          <w:szCs w:val="22"/>
        </w:rPr>
        <w:t xml:space="preserve">, </w:t>
      </w:r>
      <w:r w:rsidR="00DA4D0D" w:rsidRPr="00651B24">
        <w:rPr>
          <w:rFonts w:ascii="Verdana" w:hAnsi="Verdana"/>
          <w:sz w:val="22"/>
          <w:szCs w:val="22"/>
        </w:rPr>
        <w:t>wherever</w:t>
      </w:r>
      <w:r w:rsidR="00E04B61" w:rsidRPr="00651B24">
        <w:rPr>
          <w:rFonts w:ascii="Verdana" w:hAnsi="Verdana"/>
          <w:sz w:val="22"/>
          <w:szCs w:val="22"/>
        </w:rPr>
        <w:t xml:space="preserve"> possible,</w:t>
      </w:r>
      <w:r w:rsidR="00A0606D" w:rsidRPr="00651B24">
        <w:rPr>
          <w:rFonts w:ascii="Verdana" w:hAnsi="Verdana"/>
          <w:sz w:val="22"/>
          <w:szCs w:val="22"/>
        </w:rPr>
        <w:t xml:space="preserve"> pass the relevant evidence to the relevant Monitoring Officer so that the question of whether a Code of Conduct breach is to be pursued can be considered.  To faci</w:t>
      </w:r>
      <w:r w:rsidR="00651B24">
        <w:rPr>
          <w:rFonts w:ascii="Verdana" w:hAnsi="Verdana"/>
          <w:sz w:val="22"/>
          <w:szCs w:val="22"/>
        </w:rPr>
        <w:t xml:space="preserve">litate this the </w:t>
      </w:r>
      <w:r w:rsidR="00A0606D" w:rsidRPr="00651B24">
        <w:rPr>
          <w:rFonts w:ascii="Verdana" w:hAnsi="Verdana"/>
          <w:sz w:val="22"/>
          <w:szCs w:val="22"/>
        </w:rPr>
        <w:t xml:space="preserve">Monitoring Officer </w:t>
      </w:r>
      <w:r w:rsidR="004D62D3" w:rsidRPr="00651B24">
        <w:rPr>
          <w:rFonts w:ascii="Verdana" w:hAnsi="Verdana"/>
          <w:sz w:val="22"/>
          <w:szCs w:val="22"/>
        </w:rPr>
        <w:t xml:space="preserve">and the Police will enter into a data sharing agreement.  </w:t>
      </w:r>
    </w:p>
    <w:p w14:paraId="56DA867E" w14:textId="77777777" w:rsidR="00651B24" w:rsidRDefault="00651B24" w:rsidP="009E1622">
      <w:pPr>
        <w:pStyle w:val="ListParagraph"/>
        <w:spacing w:after="0" w:line="240" w:lineRule="auto"/>
        <w:ind w:left="567" w:hanging="567"/>
        <w:contextualSpacing w:val="0"/>
        <w:rPr>
          <w:rFonts w:ascii="Verdana" w:hAnsi="Verdana"/>
        </w:rPr>
      </w:pPr>
    </w:p>
    <w:p w14:paraId="091D59A5" w14:textId="37FDBEE1" w:rsidR="009E1622" w:rsidRDefault="00354C3C" w:rsidP="009E1622">
      <w:pPr>
        <w:pStyle w:val="NormalWeb"/>
        <w:numPr>
          <w:ilvl w:val="0"/>
          <w:numId w:val="2"/>
        </w:numPr>
        <w:spacing w:before="0" w:beforeAutospacing="0" w:after="0" w:afterAutospacing="0"/>
        <w:ind w:left="567" w:hanging="567"/>
        <w:rPr>
          <w:rFonts w:ascii="Verdana" w:hAnsi="Verdana"/>
          <w:sz w:val="22"/>
          <w:szCs w:val="22"/>
        </w:rPr>
      </w:pPr>
      <w:r>
        <w:rPr>
          <w:rFonts w:ascii="Verdana" w:hAnsi="Verdana"/>
          <w:sz w:val="22"/>
          <w:szCs w:val="22"/>
        </w:rPr>
        <w:t>When</w:t>
      </w:r>
      <w:r w:rsidR="00651B24">
        <w:rPr>
          <w:rFonts w:ascii="Verdana" w:hAnsi="Verdana"/>
          <w:sz w:val="22"/>
          <w:szCs w:val="22"/>
        </w:rPr>
        <w:t xml:space="preserve"> WDC </w:t>
      </w:r>
      <w:r w:rsidR="004D62D3" w:rsidRPr="00651B24">
        <w:rPr>
          <w:rFonts w:ascii="Verdana" w:hAnsi="Verdana"/>
          <w:sz w:val="22"/>
          <w:szCs w:val="22"/>
        </w:rPr>
        <w:t xml:space="preserve">decides </w:t>
      </w:r>
      <w:r>
        <w:rPr>
          <w:rFonts w:ascii="Verdana" w:hAnsi="Verdana"/>
          <w:sz w:val="22"/>
          <w:szCs w:val="22"/>
        </w:rPr>
        <w:t xml:space="preserve">on how </w:t>
      </w:r>
      <w:r w:rsidR="004D62D3" w:rsidRPr="00651B24">
        <w:rPr>
          <w:rFonts w:ascii="Verdana" w:hAnsi="Verdana"/>
          <w:sz w:val="22"/>
          <w:szCs w:val="22"/>
        </w:rPr>
        <w:t>to pursue the matter in terms of a Code of Conduct breach, they will inform the Police of their decision.</w:t>
      </w:r>
    </w:p>
    <w:p w14:paraId="711EDA9A" w14:textId="77777777" w:rsidR="000F12A3" w:rsidRPr="00651B24" w:rsidRDefault="000F12A3" w:rsidP="009E1622">
      <w:pPr>
        <w:pStyle w:val="NormalWeb"/>
        <w:spacing w:before="0" w:beforeAutospacing="0" w:after="0" w:afterAutospacing="0"/>
        <w:ind w:left="567"/>
        <w:rPr>
          <w:rFonts w:ascii="Verdana" w:hAnsi="Verdana"/>
          <w:sz w:val="22"/>
          <w:szCs w:val="22"/>
        </w:rPr>
      </w:pPr>
    </w:p>
    <w:tbl>
      <w:tblPr>
        <w:tblStyle w:val="TableGrid"/>
        <w:tblW w:w="0" w:type="auto"/>
        <w:tblLook w:val="04A0" w:firstRow="1" w:lastRow="0" w:firstColumn="1" w:lastColumn="0" w:noHBand="0" w:noVBand="1"/>
      </w:tblPr>
      <w:tblGrid>
        <w:gridCol w:w="4814"/>
        <w:gridCol w:w="4814"/>
      </w:tblGrid>
      <w:tr w:rsidR="00E04B61" w:rsidRPr="00651B24" w14:paraId="0C4BA70A" w14:textId="77777777" w:rsidTr="00E04B61">
        <w:tc>
          <w:tcPr>
            <w:tcW w:w="4814" w:type="dxa"/>
            <w:tcBorders>
              <w:top w:val="nil"/>
              <w:left w:val="nil"/>
              <w:bottom w:val="nil"/>
              <w:right w:val="nil"/>
            </w:tcBorders>
          </w:tcPr>
          <w:p w14:paraId="20F7ED31" w14:textId="77777777" w:rsidR="00E04B61" w:rsidRPr="00651B24" w:rsidRDefault="00E04B61" w:rsidP="00E04B61">
            <w:pPr>
              <w:spacing w:after="0" w:line="240" w:lineRule="auto"/>
              <w:rPr>
                <w:rFonts w:ascii="Verdana" w:hAnsi="Verdana"/>
              </w:rPr>
            </w:pPr>
          </w:p>
          <w:p w14:paraId="6253325C" w14:textId="77777777" w:rsidR="00E04B61" w:rsidRPr="00651B24" w:rsidRDefault="00E04B61" w:rsidP="00E04B61">
            <w:pPr>
              <w:spacing w:after="0" w:line="240" w:lineRule="auto"/>
              <w:rPr>
                <w:rFonts w:ascii="Verdana" w:hAnsi="Verdana"/>
              </w:rPr>
            </w:pPr>
          </w:p>
          <w:p w14:paraId="2CBFF127" w14:textId="77777777" w:rsidR="00E04B61" w:rsidRPr="00651B24" w:rsidRDefault="00E04B61" w:rsidP="00E04B61">
            <w:pPr>
              <w:spacing w:after="0" w:line="240" w:lineRule="auto"/>
              <w:rPr>
                <w:rFonts w:ascii="Verdana" w:hAnsi="Verdana"/>
              </w:rPr>
            </w:pPr>
          </w:p>
          <w:p w14:paraId="5A933710" w14:textId="77777777" w:rsidR="00E04B61" w:rsidRPr="00651B24" w:rsidRDefault="00E04B61" w:rsidP="00E04B61">
            <w:pPr>
              <w:spacing w:after="0" w:line="240" w:lineRule="auto"/>
              <w:rPr>
                <w:rFonts w:ascii="Verdana" w:hAnsi="Verdana"/>
              </w:rPr>
            </w:pPr>
          </w:p>
        </w:tc>
        <w:tc>
          <w:tcPr>
            <w:tcW w:w="4814" w:type="dxa"/>
            <w:tcBorders>
              <w:top w:val="nil"/>
              <w:left w:val="nil"/>
              <w:bottom w:val="nil"/>
              <w:right w:val="nil"/>
            </w:tcBorders>
          </w:tcPr>
          <w:p w14:paraId="5CB44F1B" w14:textId="77777777" w:rsidR="00E04B61" w:rsidRPr="00651B24" w:rsidRDefault="00E04B61" w:rsidP="00E04B61">
            <w:pPr>
              <w:spacing w:after="0" w:line="240" w:lineRule="auto"/>
              <w:rPr>
                <w:rFonts w:ascii="Verdana" w:hAnsi="Verdana"/>
              </w:rPr>
            </w:pPr>
          </w:p>
        </w:tc>
      </w:tr>
      <w:tr w:rsidR="00E04B61" w:rsidRPr="00651B24" w14:paraId="34F70DC6" w14:textId="77777777" w:rsidTr="00E04B61">
        <w:tc>
          <w:tcPr>
            <w:tcW w:w="4814" w:type="dxa"/>
            <w:tcBorders>
              <w:top w:val="nil"/>
              <w:left w:val="nil"/>
              <w:bottom w:val="nil"/>
              <w:right w:val="nil"/>
            </w:tcBorders>
          </w:tcPr>
          <w:p w14:paraId="4D53D125" w14:textId="770E40A8" w:rsidR="00E04B61" w:rsidRPr="00651B24" w:rsidRDefault="00E04B61" w:rsidP="00E04B61">
            <w:pPr>
              <w:spacing w:after="0" w:line="240" w:lineRule="auto"/>
              <w:rPr>
                <w:rFonts w:ascii="Verdana" w:hAnsi="Verdana"/>
              </w:rPr>
            </w:pPr>
            <w:r w:rsidRPr="00651B24">
              <w:rPr>
                <w:rFonts w:ascii="Verdana" w:hAnsi="Verdana"/>
              </w:rPr>
              <w:t>Monitoring Officer (Warwick District Council</w:t>
            </w:r>
            <w:r w:rsidR="00593856" w:rsidRPr="00651B24">
              <w:rPr>
                <w:rFonts w:ascii="Verdana" w:hAnsi="Verdana"/>
              </w:rPr>
              <w:t>s</w:t>
            </w:r>
            <w:r w:rsidRPr="00651B24">
              <w:rPr>
                <w:rFonts w:ascii="Verdana" w:hAnsi="Verdana"/>
              </w:rPr>
              <w:t>)</w:t>
            </w:r>
          </w:p>
        </w:tc>
        <w:tc>
          <w:tcPr>
            <w:tcW w:w="4814" w:type="dxa"/>
            <w:tcBorders>
              <w:top w:val="nil"/>
              <w:left w:val="nil"/>
              <w:bottom w:val="nil"/>
              <w:right w:val="nil"/>
            </w:tcBorders>
          </w:tcPr>
          <w:p w14:paraId="238B6038" w14:textId="2192A653" w:rsidR="00E04B61" w:rsidRPr="00651B24" w:rsidRDefault="00E04B61" w:rsidP="00E04B61">
            <w:pPr>
              <w:spacing w:after="0" w:line="240" w:lineRule="auto"/>
              <w:rPr>
                <w:rFonts w:ascii="Verdana" w:hAnsi="Verdana"/>
              </w:rPr>
            </w:pPr>
            <w:r w:rsidRPr="00651B24">
              <w:rPr>
                <w:rFonts w:ascii="Verdana" w:hAnsi="Verdana"/>
              </w:rPr>
              <w:t xml:space="preserve">Warwickshire Police Chief Constable </w:t>
            </w:r>
          </w:p>
        </w:tc>
      </w:tr>
      <w:tr w:rsidR="00E04B61" w:rsidRPr="00651B24" w14:paraId="3109EE1D" w14:textId="77777777" w:rsidTr="00E04B61">
        <w:tc>
          <w:tcPr>
            <w:tcW w:w="4814" w:type="dxa"/>
            <w:tcBorders>
              <w:top w:val="nil"/>
              <w:left w:val="nil"/>
              <w:bottom w:val="nil"/>
              <w:right w:val="nil"/>
            </w:tcBorders>
          </w:tcPr>
          <w:p w14:paraId="04D83F13" w14:textId="77777777" w:rsidR="00E04B61" w:rsidRPr="00651B24" w:rsidRDefault="00E04B61" w:rsidP="00E04B61">
            <w:pPr>
              <w:spacing w:after="0" w:line="240" w:lineRule="auto"/>
              <w:rPr>
                <w:rFonts w:ascii="Verdana" w:hAnsi="Verdana"/>
              </w:rPr>
            </w:pPr>
            <w:r w:rsidRPr="00651B24">
              <w:rPr>
                <w:rFonts w:ascii="Verdana" w:hAnsi="Verdana"/>
              </w:rPr>
              <w:t>Date:</w:t>
            </w:r>
          </w:p>
        </w:tc>
        <w:tc>
          <w:tcPr>
            <w:tcW w:w="4814" w:type="dxa"/>
            <w:tcBorders>
              <w:top w:val="nil"/>
              <w:left w:val="nil"/>
              <w:bottom w:val="nil"/>
              <w:right w:val="nil"/>
            </w:tcBorders>
          </w:tcPr>
          <w:p w14:paraId="76F85CB8" w14:textId="77777777" w:rsidR="00E04B61" w:rsidRPr="00651B24" w:rsidRDefault="00E04B61" w:rsidP="00E04B61">
            <w:pPr>
              <w:spacing w:after="0" w:line="240" w:lineRule="auto"/>
              <w:rPr>
                <w:rFonts w:ascii="Verdana" w:hAnsi="Verdana"/>
              </w:rPr>
            </w:pPr>
            <w:r w:rsidRPr="00651B24">
              <w:rPr>
                <w:rFonts w:ascii="Verdana" w:hAnsi="Verdana"/>
              </w:rPr>
              <w:t>Date:</w:t>
            </w:r>
          </w:p>
        </w:tc>
      </w:tr>
    </w:tbl>
    <w:p w14:paraId="65009E55" w14:textId="0EBF6DB0" w:rsidR="00E04B61" w:rsidRDefault="00E04B61" w:rsidP="00E04B61">
      <w:pPr>
        <w:spacing w:after="0" w:line="240" w:lineRule="auto"/>
        <w:rPr>
          <w:rFonts w:ascii="Verdana" w:hAnsi="Verdana"/>
        </w:rPr>
      </w:pPr>
    </w:p>
    <w:p w14:paraId="60DFAB36" w14:textId="7FB8323F" w:rsidR="000E2DCB" w:rsidRDefault="000E2DCB" w:rsidP="00E04B61">
      <w:pPr>
        <w:spacing w:after="0" w:line="240" w:lineRule="auto"/>
        <w:rPr>
          <w:rFonts w:ascii="Verdana" w:hAnsi="Verdana"/>
        </w:rPr>
      </w:pPr>
    </w:p>
    <w:p w14:paraId="57D76680" w14:textId="77777777" w:rsidR="000E2DCB" w:rsidRDefault="000E2DCB" w:rsidP="000E2DCB">
      <w:pPr>
        <w:spacing w:after="0" w:line="240" w:lineRule="auto"/>
        <w:rPr>
          <w:rFonts w:ascii="Verdana" w:hAnsi="Verdana" w:cs="Arial"/>
          <w:b/>
        </w:rPr>
      </w:pPr>
      <w:r w:rsidRPr="00204483">
        <w:rPr>
          <w:rFonts w:ascii="Verdana" w:hAnsi="Verdana" w:cs="Arial"/>
          <w:b/>
        </w:rPr>
        <w:t>Document Control</w:t>
      </w:r>
    </w:p>
    <w:p w14:paraId="7D842133" w14:textId="77777777" w:rsidR="000E2DCB" w:rsidRPr="00204483" w:rsidRDefault="000E2DCB" w:rsidP="000E2DCB">
      <w:pPr>
        <w:spacing w:after="0" w:line="240" w:lineRule="auto"/>
        <w:rPr>
          <w:rFonts w:ascii="Verdana" w:hAnsi="Verdana"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0E2DCB" w:rsidRPr="004C5F87" w14:paraId="5726F092" w14:textId="77777777" w:rsidTr="00C4468B">
        <w:tc>
          <w:tcPr>
            <w:tcW w:w="4928" w:type="dxa"/>
            <w:shd w:val="clear" w:color="auto" w:fill="auto"/>
          </w:tcPr>
          <w:p w14:paraId="50FAA686" w14:textId="77777777" w:rsidR="000E2DCB" w:rsidRPr="004C5F87" w:rsidRDefault="000E2DCB" w:rsidP="000E2DCB">
            <w:pPr>
              <w:spacing w:after="0" w:line="240" w:lineRule="auto"/>
              <w:rPr>
                <w:rFonts w:ascii="Verdana" w:hAnsi="Verdana" w:cs="Arial"/>
              </w:rPr>
            </w:pPr>
            <w:r>
              <w:rPr>
                <w:rFonts w:ascii="Verdana" w:hAnsi="Verdana" w:cs="Arial"/>
              </w:rPr>
              <w:t>Version</w:t>
            </w:r>
          </w:p>
        </w:tc>
        <w:tc>
          <w:tcPr>
            <w:tcW w:w="4929" w:type="dxa"/>
            <w:shd w:val="clear" w:color="auto" w:fill="auto"/>
          </w:tcPr>
          <w:p w14:paraId="3AD34C67" w14:textId="58260203" w:rsidR="000E2DCB" w:rsidRPr="004C5F87" w:rsidRDefault="000E2DCB" w:rsidP="000E2DCB">
            <w:pPr>
              <w:spacing w:after="0" w:line="240" w:lineRule="auto"/>
              <w:rPr>
                <w:rFonts w:ascii="Verdana" w:hAnsi="Verdana" w:cs="Arial"/>
              </w:rPr>
            </w:pPr>
            <w:r>
              <w:rPr>
                <w:rFonts w:ascii="Verdana" w:hAnsi="Verdana" w:cs="Arial"/>
              </w:rPr>
              <w:t>1.</w:t>
            </w:r>
            <w:r w:rsidR="00354C3C">
              <w:rPr>
                <w:rFonts w:ascii="Verdana" w:hAnsi="Verdana" w:cs="Arial"/>
              </w:rPr>
              <w:t>2</w:t>
            </w:r>
          </w:p>
        </w:tc>
      </w:tr>
      <w:tr w:rsidR="000E2DCB" w:rsidRPr="004C5F87" w14:paraId="6C749481" w14:textId="77777777" w:rsidTr="00C4468B">
        <w:tc>
          <w:tcPr>
            <w:tcW w:w="4928" w:type="dxa"/>
            <w:shd w:val="clear" w:color="auto" w:fill="auto"/>
          </w:tcPr>
          <w:p w14:paraId="0BE7F320" w14:textId="77777777" w:rsidR="000E2DCB" w:rsidRPr="004C5F87" w:rsidRDefault="000E2DCB" w:rsidP="000E2DCB">
            <w:pPr>
              <w:spacing w:after="0" w:line="240" w:lineRule="auto"/>
              <w:rPr>
                <w:rFonts w:ascii="Verdana" w:hAnsi="Verdana" w:cs="Arial"/>
              </w:rPr>
            </w:pPr>
            <w:r w:rsidRPr="004C5F87">
              <w:rPr>
                <w:rFonts w:ascii="Verdana" w:hAnsi="Verdana" w:cs="Arial"/>
              </w:rPr>
              <w:t>Date Issued</w:t>
            </w:r>
          </w:p>
        </w:tc>
        <w:tc>
          <w:tcPr>
            <w:tcW w:w="4929" w:type="dxa"/>
            <w:shd w:val="clear" w:color="auto" w:fill="auto"/>
          </w:tcPr>
          <w:p w14:paraId="5C66BD2F" w14:textId="2858BA9B" w:rsidR="000E2DCB" w:rsidRPr="004C5F87" w:rsidRDefault="00354C3C" w:rsidP="000E2DCB">
            <w:pPr>
              <w:spacing w:after="0" w:line="240" w:lineRule="auto"/>
              <w:rPr>
                <w:rFonts w:ascii="Verdana" w:hAnsi="Verdana" w:cs="Arial"/>
              </w:rPr>
            </w:pPr>
            <w:r>
              <w:rPr>
                <w:rFonts w:ascii="Verdana" w:hAnsi="Verdana" w:cs="Arial"/>
              </w:rPr>
              <w:t xml:space="preserve">19 </w:t>
            </w:r>
            <w:r w:rsidR="000E2DCB" w:rsidRPr="004C5F87">
              <w:rPr>
                <w:rFonts w:ascii="Verdana" w:hAnsi="Verdana" w:cs="Arial"/>
              </w:rPr>
              <w:t>May 2022</w:t>
            </w:r>
          </w:p>
        </w:tc>
      </w:tr>
      <w:tr w:rsidR="000E2DCB" w:rsidRPr="004C5F87" w14:paraId="157222C2" w14:textId="77777777" w:rsidTr="00C4468B">
        <w:tc>
          <w:tcPr>
            <w:tcW w:w="4928" w:type="dxa"/>
            <w:shd w:val="clear" w:color="auto" w:fill="auto"/>
          </w:tcPr>
          <w:p w14:paraId="4F72104C" w14:textId="77777777" w:rsidR="000E2DCB" w:rsidRPr="004C5F87" w:rsidRDefault="000E2DCB" w:rsidP="000E2DCB">
            <w:pPr>
              <w:spacing w:after="0" w:line="240" w:lineRule="auto"/>
              <w:rPr>
                <w:rFonts w:ascii="Verdana" w:hAnsi="Verdana" w:cs="Arial"/>
              </w:rPr>
            </w:pPr>
            <w:r w:rsidRPr="004C5F87">
              <w:rPr>
                <w:rFonts w:ascii="Verdana" w:hAnsi="Verdana" w:cs="Arial"/>
              </w:rPr>
              <w:t>Ownership of Document</w:t>
            </w:r>
          </w:p>
        </w:tc>
        <w:tc>
          <w:tcPr>
            <w:tcW w:w="4929" w:type="dxa"/>
            <w:shd w:val="clear" w:color="auto" w:fill="auto"/>
          </w:tcPr>
          <w:p w14:paraId="65E82220" w14:textId="77777777" w:rsidR="000E2DCB" w:rsidRPr="004C5F87" w:rsidRDefault="000E2DCB" w:rsidP="000E2DCB">
            <w:pPr>
              <w:spacing w:after="0" w:line="240" w:lineRule="auto"/>
              <w:rPr>
                <w:rFonts w:ascii="Verdana" w:hAnsi="Verdana" w:cs="Arial"/>
              </w:rPr>
            </w:pPr>
            <w:r w:rsidRPr="004C5F87">
              <w:rPr>
                <w:rFonts w:ascii="Verdana" w:hAnsi="Verdana" w:cs="Arial"/>
              </w:rPr>
              <w:t>Monitoring Officer</w:t>
            </w:r>
          </w:p>
        </w:tc>
      </w:tr>
    </w:tbl>
    <w:p w14:paraId="56AC2CFD" w14:textId="77777777" w:rsidR="000E2DCB" w:rsidRPr="00204483" w:rsidRDefault="000E2DCB" w:rsidP="000E2DCB">
      <w:pPr>
        <w:spacing w:after="0" w:line="240" w:lineRule="auto"/>
        <w:rPr>
          <w:rFonts w:ascii="Verdana" w:hAnsi="Verdana" w:cs="Arial"/>
          <w:b/>
        </w:rPr>
      </w:pPr>
    </w:p>
    <w:p w14:paraId="586C8FD9" w14:textId="77777777" w:rsidR="000E2DCB" w:rsidRPr="00651B24" w:rsidRDefault="000E2DCB" w:rsidP="000E2DCB">
      <w:pPr>
        <w:spacing w:after="0" w:line="240" w:lineRule="auto"/>
        <w:rPr>
          <w:rFonts w:ascii="Verdana" w:hAnsi="Verdana"/>
        </w:rPr>
      </w:pPr>
    </w:p>
    <w:sectPr w:rsidR="000E2DCB" w:rsidRPr="00651B24" w:rsidSect="00874F80">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22377" w14:textId="77777777" w:rsidR="00731E01" w:rsidRDefault="00731E01" w:rsidP="004D62D3">
      <w:pPr>
        <w:spacing w:after="0" w:line="240" w:lineRule="auto"/>
      </w:pPr>
      <w:r>
        <w:separator/>
      </w:r>
    </w:p>
  </w:endnote>
  <w:endnote w:type="continuationSeparator" w:id="0">
    <w:p w14:paraId="101D202E" w14:textId="77777777" w:rsidR="00731E01" w:rsidRDefault="00731E01" w:rsidP="004D6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550166"/>
      <w:docPartObj>
        <w:docPartGallery w:val="Page Numbers (Bottom of Page)"/>
        <w:docPartUnique/>
      </w:docPartObj>
    </w:sdtPr>
    <w:sdtEndPr>
      <w:rPr>
        <w:rFonts w:ascii="Verdana" w:hAnsi="Verdana"/>
        <w:noProof/>
      </w:rPr>
    </w:sdtEndPr>
    <w:sdtContent>
      <w:p w14:paraId="688E4FF8" w14:textId="13D80FBD" w:rsidR="00874F80" w:rsidRPr="00874F80" w:rsidRDefault="00874F80">
        <w:pPr>
          <w:pStyle w:val="Footer"/>
          <w:jc w:val="center"/>
          <w:rPr>
            <w:rFonts w:ascii="Verdana" w:hAnsi="Verdana"/>
          </w:rPr>
        </w:pPr>
        <w:r w:rsidRPr="00874F80">
          <w:rPr>
            <w:rFonts w:ascii="Verdana" w:hAnsi="Verdana"/>
          </w:rPr>
          <w:t xml:space="preserve">Page </w:t>
        </w:r>
        <w:r w:rsidRPr="00874F80">
          <w:rPr>
            <w:rFonts w:ascii="Verdana" w:hAnsi="Verdana"/>
          </w:rPr>
          <w:fldChar w:fldCharType="begin"/>
        </w:r>
        <w:r w:rsidRPr="00874F80">
          <w:rPr>
            <w:rFonts w:ascii="Verdana" w:hAnsi="Verdana"/>
          </w:rPr>
          <w:instrText xml:space="preserve"> PAGE   \* MERGEFORMAT </w:instrText>
        </w:r>
        <w:r w:rsidRPr="00874F80">
          <w:rPr>
            <w:rFonts w:ascii="Verdana" w:hAnsi="Verdana"/>
          </w:rPr>
          <w:fldChar w:fldCharType="separate"/>
        </w:r>
        <w:r w:rsidR="00E17FB3">
          <w:rPr>
            <w:rFonts w:ascii="Verdana" w:hAnsi="Verdana"/>
            <w:noProof/>
          </w:rPr>
          <w:t>1</w:t>
        </w:r>
        <w:r w:rsidRPr="00874F80">
          <w:rPr>
            <w:rFonts w:ascii="Verdana" w:hAnsi="Verdan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2FC3" w14:textId="77777777" w:rsidR="00731E01" w:rsidRDefault="00731E01" w:rsidP="004D62D3">
      <w:pPr>
        <w:spacing w:after="0" w:line="240" w:lineRule="auto"/>
      </w:pPr>
      <w:r>
        <w:separator/>
      </w:r>
    </w:p>
  </w:footnote>
  <w:footnote w:type="continuationSeparator" w:id="0">
    <w:p w14:paraId="469C5A14" w14:textId="77777777" w:rsidR="00731E01" w:rsidRDefault="00731E01" w:rsidP="004D6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072F6"/>
    <w:multiLevelType w:val="hybridMultilevel"/>
    <w:tmpl w:val="281AC5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6C228D"/>
    <w:multiLevelType w:val="hybridMultilevel"/>
    <w:tmpl w:val="FDFE7F62"/>
    <w:lvl w:ilvl="0" w:tplc="1FD80A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4DC8"/>
    <w:rsid w:val="0003114D"/>
    <w:rsid w:val="00090A62"/>
    <w:rsid w:val="00093004"/>
    <w:rsid w:val="000E2DCB"/>
    <w:rsid w:val="000F12A3"/>
    <w:rsid w:val="000F6502"/>
    <w:rsid w:val="00165E0D"/>
    <w:rsid w:val="001909D6"/>
    <w:rsid w:val="002632B0"/>
    <w:rsid w:val="003366FC"/>
    <w:rsid w:val="00345FED"/>
    <w:rsid w:val="003501DC"/>
    <w:rsid w:val="00354C3C"/>
    <w:rsid w:val="0047556E"/>
    <w:rsid w:val="004D62D3"/>
    <w:rsid w:val="004D792E"/>
    <w:rsid w:val="00593856"/>
    <w:rsid w:val="00651B24"/>
    <w:rsid w:val="006739CD"/>
    <w:rsid w:val="00715AD7"/>
    <w:rsid w:val="00731E01"/>
    <w:rsid w:val="00772E54"/>
    <w:rsid w:val="007C40AA"/>
    <w:rsid w:val="00802233"/>
    <w:rsid w:val="00805088"/>
    <w:rsid w:val="00825076"/>
    <w:rsid w:val="00874F80"/>
    <w:rsid w:val="008D07FB"/>
    <w:rsid w:val="009E0AE9"/>
    <w:rsid w:val="009E1622"/>
    <w:rsid w:val="00A0606D"/>
    <w:rsid w:val="00A44B3D"/>
    <w:rsid w:val="00A54912"/>
    <w:rsid w:val="00AD03CF"/>
    <w:rsid w:val="00BA7A60"/>
    <w:rsid w:val="00C14330"/>
    <w:rsid w:val="00C34447"/>
    <w:rsid w:val="00CA3EFE"/>
    <w:rsid w:val="00D06D82"/>
    <w:rsid w:val="00D1238D"/>
    <w:rsid w:val="00D23381"/>
    <w:rsid w:val="00D43EC9"/>
    <w:rsid w:val="00DA4D0D"/>
    <w:rsid w:val="00DB4A4D"/>
    <w:rsid w:val="00E04B61"/>
    <w:rsid w:val="00E17FB3"/>
    <w:rsid w:val="00E74DC8"/>
    <w:rsid w:val="00F66DE4"/>
    <w:rsid w:val="00FD0ACD"/>
    <w:rsid w:val="00FF2F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6DF4EA7"/>
  <w15:docId w15:val="{1A4891D2-0EFE-4339-AAAE-81C833932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91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DC8"/>
    <w:pPr>
      <w:ind w:left="720"/>
      <w:contextualSpacing/>
    </w:pPr>
  </w:style>
  <w:style w:type="character" w:styleId="Hyperlink">
    <w:name w:val="Hyperlink"/>
    <w:basedOn w:val="DefaultParagraphFont"/>
    <w:uiPriority w:val="99"/>
    <w:semiHidden/>
    <w:unhideWhenUsed/>
    <w:rsid w:val="0047556E"/>
    <w:rPr>
      <w:color w:val="0000FF"/>
      <w:u w:val="single"/>
    </w:rPr>
  </w:style>
  <w:style w:type="paragraph" w:styleId="NormalWeb">
    <w:name w:val="Normal (Web)"/>
    <w:basedOn w:val="Normal"/>
    <w:uiPriority w:val="99"/>
    <w:unhideWhenUsed/>
    <w:rsid w:val="0047556E"/>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4D6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2D3"/>
  </w:style>
  <w:style w:type="paragraph" w:styleId="Footer">
    <w:name w:val="footer"/>
    <w:basedOn w:val="Normal"/>
    <w:link w:val="FooterChar"/>
    <w:uiPriority w:val="99"/>
    <w:unhideWhenUsed/>
    <w:rsid w:val="004D6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2D3"/>
  </w:style>
  <w:style w:type="paragraph" w:styleId="BalloonText">
    <w:name w:val="Balloon Text"/>
    <w:basedOn w:val="Normal"/>
    <w:link w:val="BalloonTextChar"/>
    <w:uiPriority w:val="99"/>
    <w:semiHidden/>
    <w:unhideWhenUsed/>
    <w:rsid w:val="006739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9CD"/>
    <w:rPr>
      <w:rFonts w:ascii="Tahoma" w:hAnsi="Tahoma" w:cs="Tahoma"/>
      <w:sz w:val="16"/>
      <w:szCs w:val="16"/>
    </w:rPr>
  </w:style>
  <w:style w:type="paragraph" w:styleId="NoSpacing">
    <w:name w:val="No Spacing"/>
    <w:uiPriority w:val="1"/>
    <w:qFormat/>
    <w:rsid w:val="00E04B61"/>
    <w:rPr>
      <w:rFonts w:asciiTheme="minorHAnsi" w:eastAsiaTheme="minorHAnsi" w:hAnsiTheme="minorHAnsi" w:cstheme="minorBidi"/>
      <w:sz w:val="22"/>
      <w:szCs w:val="22"/>
      <w:lang w:eastAsia="en-US"/>
    </w:rPr>
  </w:style>
  <w:style w:type="table" w:styleId="TableGrid">
    <w:name w:val="Table Grid"/>
    <w:basedOn w:val="TableNormal"/>
    <w:uiPriority w:val="59"/>
    <w:rsid w:val="00E04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266382">
      <w:bodyDiv w:val="1"/>
      <w:marLeft w:val="0"/>
      <w:marRight w:val="0"/>
      <w:marTop w:val="0"/>
      <w:marBottom w:val="0"/>
      <w:divBdr>
        <w:top w:val="none" w:sz="0" w:space="0" w:color="auto"/>
        <w:left w:val="none" w:sz="0" w:space="0" w:color="auto"/>
        <w:bottom w:val="none" w:sz="0" w:space="0" w:color="auto"/>
        <w:right w:val="none" w:sz="0" w:space="0" w:color="auto"/>
      </w:divBdr>
    </w:div>
    <w:div w:id="12589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NSDC</Company>
  <LinksUpToDate>false</LinksUpToDate>
  <CharactersWithSpaces>2875</CharactersWithSpaces>
  <SharedDoc>false</SharedDoc>
  <HLinks>
    <vt:vector size="6" baseType="variant">
      <vt:variant>
        <vt:i4>6946824</vt:i4>
      </vt:variant>
      <vt:variant>
        <vt:i4>0</vt:i4>
      </vt:variant>
      <vt:variant>
        <vt:i4>0</vt:i4>
      </vt:variant>
      <vt:variant>
        <vt:i4>5</vt:i4>
      </vt:variant>
      <vt:variant>
        <vt:lpwstr>mailto:andy.baguley@nottinghamshire.pnn.police.uk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jaynewo</dc:creator>
  <cp:lastModifiedBy>Graham Leach</cp:lastModifiedBy>
  <cp:revision>11</cp:revision>
  <cp:lastPrinted>2014-09-02T11:02:00Z</cp:lastPrinted>
  <dcterms:created xsi:type="dcterms:W3CDTF">2022-04-11T07:11:00Z</dcterms:created>
  <dcterms:modified xsi:type="dcterms:W3CDTF">2022-05-26T17:54:00Z</dcterms:modified>
</cp:coreProperties>
</file>