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F050D" w14:textId="77777777" w:rsidR="00032D49" w:rsidRPr="000B54EF" w:rsidRDefault="00032D49"/>
    <w:tbl>
      <w:tblPr>
        <w:tblStyle w:val="TableGrid"/>
        <w:tblW w:w="0" w:type="auto"/>
        <w:jc w:val="center"/>
        <w:tblLook w:val="04A0" w:firstRow="1" w:lastRow="0" w:firstColumn="1" w:lastColumn="0" w:noHBand="0" w:noVBand="1"/>
      </w:tblPr>
      <w:tblGrid>
        <w:gridCol w:w="2493"/>
        <w:gridCol w:w="6543"/>
        <w:gridCol w:w="4912"/>
      </w:tblGrid>
      <w:tr w:rsidR="000B54EF" w:rsidRPr="000B54EF" w14:paraId="77FA9974" w14:textId="77777777" w:rsidTr="009A755C">
        <w:trPr>
          <w:tblHeader/>
          <w:jc w:val="center"/>
        </w:trPr>
        <w:tc>
          <w:tcPr>
            <w:tcW w:w="2518" w:type="dxa"/>
          </w:tcPr>
          <w:p w14:paraId="7E11B72F" w14:textId="77777777" w:rsidR="000E5962" w:rsidRDefault="000E5962" w:rsidP="000E5962">
            <w:pPr>
              <w:jc w:val="center"/>
              <w:rPr>
                <w:rFonts w:ascii="Arial" w:hAnsi="Arial" w:cs="Arial"/>
                <w:b/>
                <w:sz w:val="24"/>
                <w:szCs w:val="24"/>
              </w:rPr>
            </w:pPr>
            <w:r w:rsidRPr="000B54EF">
              <w:rPr>
                <w:rFonts w:ascii="Arial" w:hAnsi="Arial" w:cs="Arial"/>
                <w:b/>
                <w:sz w:val="24"/>
                <w:szCs w:val="24"/>
              </w:rPr>
              <w:t>Regulation</w:t>
            </w:r>
          </w:p>
          <w:p w14:paraId="08AD82C2" w14:textId="77777777" w:rsidR="000B54EF" w:rsidRPr="000B54EF" w:rsidRDefault="000B54EF" w:rsidP="000E5962">
            <w:pPr>
              <w:jc w:val="center"/>
              <w:rPr>
                <w:rFonts w:ascii="Arial" w:hAnsi="Arial" w:cs="Arial"/>
                <w:b/>
                <w:sz w:val="24"/>
                <w:szCs w:val="24"/>
              </w:rPr>
            </w:pPr>
          </w:p>
        </w:tc>
        <w:tc>
          <w:tcPr>
            <w:tcW w:w="6662" w:type="dxa"/>
          </w:tcPr>
          <w:p w14:paraId="037E098C" w14:textId="77777777" w:rsidR="000E5962" w:rsidRPr="000B54EF" w:rsidRDefault="000E5962" w:rsidP="000E5962">
            <w:pPr>
              <w:jc w:val="center"/>
              <w:rPr>
                <w:rFonts w:ascii="Arial" w:hAnsi="Arial" w:cs="Arial"/>
                <w:b/>
                <w:sz w:val="24"/>
                <w:szCs w:val="24"/>
              </w:rPr>
            </w:pPr>
            <w:r w:rsidRPr="000B54EF">
              <w:rPr>
                <w:rFonts w:ascii="Arial" w:hAnsi="Arial" w:cs="Arial"/>
                <w:b/>
                <w:sz w:val="24"/>
                <w:szCs w:val="24"/>
              </w:rPr>
              <w:t>Employing Authority Discretion</w:t>
            </w:r>
          </w:p>
        </w:tc>
        <w:tc>
          <w:tcPr>
            <w:tcW w:w="4994" w:type="dxa"/>
          </w:tcPr>
          <w:p w14:paraId="1540F4C3" w14:textId="77777777" w:rsidR="000E5962" w:rsidRPr="000B54EF" w:rsidRDefault="00E57CCA" w:rsidP="007E6D19">
            <w:pPr>
              <w:jc w:val="center"/>
              <w:rPr>
                <w:rFonts w:ascii="Arial" w:hAnsi="Arial" w:cs="Arial"/>
                <w:b/>
                <w:sz w:val="24"/>
                <w:szCs w:val="24"/>
              </w:rPr>
            </w:pPr>
            <w:r>
              <w:rPr>
                <w:rFonts w:ascii="Arial" w:hAnsi="Arial" w:cs="Arial"/>
                <w:b/>
                <w:sz w:val="24"/>
                <w:szCs w:val="24"/>
              </w:rPr>
              <w:t>W</w:t>
            </w:r>
            <w:r w:rsidR="009A755C">
              <w:rPr>
                <w:rFonts w:ascii="Arial" w:hAnsi="Arial" w:cs="Arial"/>
                <w:b/>
                <w:sz w:val="24"/>
                <w:szCs w:val="24"/>
              </w:rPr>
              <w:t xml:space="preserve">arwick </w:t>
            </w:r>
            <w:r>
              <w:rPr>
                <w:rFonts w:ascii="Arial" w:hAnsi="Arial" w:cs="Arial"/>
                <w:b/>
                <w:sz w:val="24"/>
                <w:szCs w:val="24"/>
              </w:rPr>
              <w:t>D</w:t>
            </w:r>
            <w:r w:rsidR="009A755C">
              <w:rPr>
                <w:rFonts w:ascii="Arial" w:hAnsi="Arial" w:cs="Arial"/>
                <w:b/>
                <w:sz w:val="24"/>
                <w:szCs w:val="24"/>
              </w:rPr>
              <w:t xml:space="preserve">istrict </w:t>
            </w:r>
            <w:r w:rsidR="00B90EDC" w:rsidRPr="000B54EF">
              <w:rPr>
                <w:rFonts w:ascii="Arial" w:hAnsi="Arial" w:cs="Arial"/>
                <w:b/>
                <w:sz w:val="24"/>
                <w:szCs w:val="24"/>
              </w:rPr>
              <w:t>C</w:t>
            </w:r>
            <w:r w:rsidR="009A755C">
              <w:rPr>
                <w:rFonts w:ascii="Arial" w:hAnsi="Arial" w:cs="Arial"/>
                <w:b/>
                <w:sz w:val="24"/>
                <w:szCs w:val="24"/>
              </w:rPr>
              <w:t>ouncil</w:t>
            </w:r>
            <w:r w:rsidR="000B54EF">
              <w:rPr>
                <w:rFonts w:ascii="Arial" w:hAnsi="Arial" w:cs="Arial"/>
                <w:b/>
                <w:sz w:val="24"/>
                <w:szCs w:val="24"/>
              </w:rPr>
              <w:t xml:space="preserve"> </w:t>
            </w:r>
            <w:r w:rsidR="000E5962" w:rsidRPr="000B54EF">
              <w:rPr>
                <w:rFonts w:ascii="Arial" w:hAnsi="Arial" w:cs="Arial"/>
                <w:b/>
                <w:sz w:val="24"/>
                <w:szCs w:val="24"/>
              </w:rPr>
              <w:t>Policy</w:t>
            </w:r>
          </w:p>
        </w:tc>
      </w:tr>
      <w:tr w:rsidR="000B54EF" w:rsidRPr="000B54EF" w14:paraId="4B9397B5" w14:textId="77777777" w:rsidTr="00BC36AE">
        <w:trPr>
          <w:jc w:val="center"/>
        </w:trPr>
        <w:tc>
          <w:tcPr>
            <w:tcW w:w="2518" w:type="dxa"/>
          </w:tcPr>
          <w:p w14:paraId="63DDF551" w14:textId="77777777" w:rsidR="000E5962" w:rsidRPr="000B54EF" w:rsidRDefault="000E5962" w:rsidP="000E5962">
            <w:pPr>
              <w:rPr>
                <w:rFonts w:ascii="Arial" w:hAnsi="Arial" w:cs="Arial"/>
                <w:b/>
                <w:sz w:val="24"/>
                <w:szCs w:val="24"/>
              </w:rPr>
            </w:pPr>
            <w:r w:rsidRPr="000B54EF">
              <w:rPr>
                <w:rFonts w:ascii="Arial" w:hAnsi="Arial" w:cs="Arial"/>
                <w:b/>
                <w:sz w:val="24"/>
                <w:szCs w:val="24"/>
              </w:rPr>
              <w:t>9.</w:t>
            </w:r>
          </w:p>
        </w:tc>
        <w:tc>
          <w:tcPr>
            <w:tcW w:w="6662" w:type="dxa"/>
          </w:tcPr>
          <w:p w14:paraId="55192022" w14:textId="77777777" w:rsidR="000E5962" w:rsidRPr="000B54EF" w:rsidRDefault="000E5962" w:rsidP="000E5962">
            <w:pPr>
              <w:rPr>
                <w:rFonts w:ascii="Arial" w:hAnsi="Arial" w:cs="Arial"/>
                <w:sz w:val="24"/>
                <w:szCs w:val="24"/>
              </w:rPr>
            </w:pPr>
            <w:r w:rsidRPr="000B54EF">
              <w:rPr>
                <w:rFonts w:ascii="Arial" w:hAnsi="Arial" w:cs="Arial"/>
                <w:sz w:val="24"/>
                <w:szCs w:val="24"/>
              </w:rPr>
              <w:t>Determine rate of employees’ contributions</w:t>
            </w:r>
          </w:p>
        </w:tc>
        <w:tc>
          <w:tcPr>
            <w:tcW w:w="4994" w:type="dxa"/>
          </w:tcPr>
          <w:p w14:paraId="3FF28DEC" w14:textId="77777777" w:rsidR="000B2E57" w:rsidRDefault="000B2E57" w:rsidP="000B2E57">
            <w:pPr>
              <w:rPr>
                <w:rFonts w:ascii="Arial" w:hAnsi="Arial" w:cs="Arial"/>
                <w:sz w:val="24"/>
                <w:szCs w:val="24"/>
              </w:rPr>
            </w:pPr>
            <w:r>
              <w:rPr>
                <w:rFonts w:ascii="Arial" w:hAnsi="Arial" w:cs="Arial"/>
                <w:sz w:val="24"/>
                <w:szCs w:val="24"/>
              </w:rPr>
              <w:t>The Coun</w:t>
            </w:r>
            <w:r w:rsidR="0052659D">
              <w:rPr>
                <w:rFonts w:ascii="Arial" w:hAnsi="Arial" w:cs="Arial"/>
                <w:sz w:val="24"/>
                <w:szCs w:val="24"/>
              </w:rPr>
              <w:t>cil</w:t>
            </w:r>
            <w:r>
              <w:rPr>
                <w:rFonts w:ascii="Arial" w:hAnsi="Arial" w:cs="Arial"/>
                <w:sz w:val="24"/>
                <w:szCs w:val="24"/>
              </w:rPr>
              <w:t>’s policy is:</w:t>
            </w:r>
          </w:p>
          <w:p w14:paraId="573B5AD8" w14:textId="77777777" w:rsidR="000B2E57" w:rsidRDefault="000B2E57" w:rsidP="000B2E57">
            <w:pPr>
              <w:rPr>
                <w:rFonts w:ascii="Arial" w:hAnsi="Arial" w:cs="Arial"/>
                <w:sz w:val="24"/>
                <w:szCs w:val="24"/>
              </w:rPr>
            </w:pPr>
          </w:p>
          <w:p w14:paraId="1B18EE95" w14:textId="07DF6CE2" w:rsidR="000B2E57" w:rsidRPr="008F5E35" w:rsidRDefault="000B2E57" w:rsidP="000B2E57">
            <w:pPr>
              <w:rPr>
                <w:rFonts w:ascii="Arial" w:hAnsi="Arial" w:cs="Arial"/>
                <w:sz w:val="24"/>
                <w:szCs w:val="24"/>
              </w:rPr>
            </w:pPr>
            <w:r w:rsidRPr="008F5E35">
              <w:rPr>
                <w:rFonts w:ascii="Arial" w:hAnsi="Arial" w:cs="Arial"/>
                <w:sz w:val="24"/>
                <w:szCs w:val="24"/>
              </w:rPr>
              <w:t xml:space="preserve">For existing </w:t>
            </w:r>
            <w:proofErr w:type="gramStart"/>
            <w:r w:rsidRPr="008F5E35">
              <w:rPr>
                <w:rFonts w:ascii="Arial" w:hAnsi="Arial" w:cs="Arial"/>
                <w:sz w:val="24"/>
                <w:szCs w:val="24"/>
              </w:rPr>
              <w:t>members</w:t>
            </w:r>
            <w:proofErr w:type="gramEnd"/>
            <w:r w:rsidRPr="008F5E35">
              <w:rPr>
                <w:rFonts w:ascii="Arial" w:hAnsi="Arial" w:cs="Arial"/>
                <w:sz w:val="24"/>
                <w:szCs w:val="24"/>
              </w:rPr>
              <w:t xml:space="preserve"> the contribution band is determined </w:t>
            </w:r>
            <w:r w:rsidR="002E61B8" w:rsidRPr="002E61B8">
              <w:rPr>
                <w:rFonts w:ascii="Arial" w:hAnsi="Arial" w:cs="Arial"/>
                <w:sz w:val="24"/>
                <w:szCs w:val="24"/>
              </w:rPr>
              <w:t>in April of each year together with any temporary pensionable items from the previous financial year</w:t>
            </w:r>
            <w:r w:rsidR="002E61B8" w:rsidRPr="002E61B8">
              <w:rPr>
                <w:rFonts w:ascii="Arial" w:hAnsi="Arial" w:cs="Arial"/>
                <w:sz w:val="24"/>
                <w:szCs w:val="24"/>
              </w:rPr>
              <w:t>.</w:t>
            </w:r>
            <w:r w:rsidRPr="002E61B8">
              <w:rPr>
                <w:rFonts w:ascii="Arial" w:hAnsi="Arial" w:cs="Arial"/>
                <w:sz w:val="24"/>
                <w:szCs w:val="24"/>
              </w:rPr>
              <w:t xml:space="preserve"> </w:t>
            </w:r>
            <w:r w:rsidR="002E61B8">
              <w:rPr>
                <w:rFonts w:ascii="Arial" w:hAnsi="Arial" w:cs="Arial"/>
                <w:sz w:val="24"/>
                <w:szCs w:val="24"/>
              </w:rPr>
              <w:t>**</w:t>
            </w:r>
            <w:bookmarkStart w:id="0" w:name="_GoBack"/>
            <w:bookmarkEnd w:id="0"/>
          </w:p>
          <w:p w14:paraId="26858300" w14:textId="77777777" w:rsidR="000B2E57" w:rsidRPr="008F5E35" w:rsidRDefault="000B2E57" w:rsidP="000B2E57">
            <w:pPr>
              <w:rPr>
                <w:rFonts w:ascii="Arial" w:hAnsi="Arial" w:cs="Arial"/>
                <w:sz w:val="24"/>
                <w:szCs w:val="24"/>
              </w:rPr>
            </w:pPr>
          </w:p>
          <w:p w14:paraId="6AFF6BAB" w14:textId="77777777" w:rsidR="000B2E57" w:rsidRPr="008F5E35" w:rsidRDefault="00F75E2F" w:rsidP="000B2E57">
            <w:pPr>
              <w:rPr>
                <w:rFonts w:ascii="Arial" w:hAnsi="Arial" w:cs="Arial"/>
                <w:sz w:val="24"/>
                <w:szCs w:val="24"/>
              </w:rPr>
            </w:pPr>
            <w:r>
              <w:rPr>
                <w:rFonts w:ascii="Arial" w:hAnsi="Arial" w:cs="Arial"/>
                <w:sz w:val="24"/>
                <w:szCs w:val="24"/>
              </w:rPr>
              <w:t>F</w:t>
            </w:r>
            <w:r w:rsidR="000B2E57" w:rsidRPr="008F5E35">
              <w:rPr>
                <w:rFonts w:ascii="Arial" w:hAnsi="Arial" w:cs="Arial"/>
                <w:sz w:val="24"/>
                <w:szCs w:val="24"/>
              </w:rPr>
              <w:t xml:space="preserve">or new employees / scheme members the band is </w:t>
            </w:r>
            <w:r w:rsidR="000D4D66">
              <w:rPr>
                <w:rFonts w:ascii="Arial" w:hAnsi="Arial" w:cs="Arial"/>
                <w:sz w:val="24"/>
                <w:szCs w:val="24"/>
              </w:rPr>
              <w:t xml:space="preserve">initially </w:t>
            </w:r>
            <w:r w:rsidR="000B2E57" w:rsidRPr="008F5E35">
              <w:rPr>
                <w:rFonts w:ascii="Arial" w:hAnsi="Arial" w:cs="Arial"/>
                <w:sz w:val="24"/>
                <w:szCs w:val="24"/>
              </w:rPr>
              <w:t>assessed on the salary and additional payments on the date of commencement.  This includes existing employees / scheme members who move to a new employment during the year.</w:t>
            </w:r>
          </w:p>
          <w:p w14:paraId="63D262B3" w14:textId="77777777" w:rsidR="000B2E57" w:rsidRPr="008F5E35" w:rsidRDefault="000B2E57" w:rsidP="000B2E57">
            <w:pPr>
              <w:rPr>
                <w:rFonts w:ascii="Arial" w:hAnsi="Arial" w:cs="Arial"/>
                <w:sz w:val="24"/>
                <w:szCs w:val="24"/>
              </w:rPr>
            </w:pPr>
          </w:p>
          <w:p w14:paraId="1921564E" w14:textId="77777777" w:rsidR="00B90EDC" w:rsidRDefault="0052659D" w:rsidP="00B90EDC">
            <w:pPr>
              <w:rPr>
                <w:rFonts w:ascii="Arial" w:hAnsi="Arial" w:cs="Arial"/>
                <w:sz w:val="24"/>
                <w:szCs w:val="24"/>
              </w:rPr>
            </w:pPr>
            <w:r>
              <w:rPr>
                <w:rFonts w:ascii="Arial" w:hAnsi="Arial" w:cs="Arial"/>
                <w:sz w:val="24"/>
                <w:szCs w:val="24"/>
              </w:rPr>
              <w:t>Casual employees</w:t>
            </w:r>
            <w:r w:rsidR="008F5E35">
              <w:rPr>
                <w:rFonts w:ascii="Arial" w:hAnsi="Arial" w:cs="Arial"/>
                <w:sz w:val="24"/>
                <w:szCs w:val="24"/>
              </w:rPr>
              <w:t>’</w:t>
            </w:r>
            <w:r>
              <w:rPr>
                <w:rFonts w:ascii="Arial" w:hAnsi="Arial" w:cs="Arial"/>
                <w:sz w:val="24"/>
                <w:szCs w:val="24"/>
              </w:rPr>
              <w:t xml:space="preserve"> </w:t>
            </w:r>
            <w:r w:rsidR="008F5E35">
              <w:rPr>
                <w:rFonts w:ascii="Arial" w:hAnsi="Arial" w:cs="Arial"/>
                <w:sz w:val="24"/>
                <w:szCs w:val="24"/>
              </w:rPr>
              <w:t xml:space="preserve">contribution rate </w:t>
            </w:r>
            <w:r>
              <w:rPr>
                <w:rFonts w:ascii="Arial" w:hAnsi="Arial" w:cs="Arial"/>
                <w:sz w:val="24"/>
                <w:szCs w:val="24"/>
              </w:rPr>
              <w:t>will be based on the estimated pro-rata pay for the year as determined by the relevant Head of Service.</w:t>
            </w:r>
          </w:p>
          <w:p w14:paraId="2EF8A9AE" w14:textId="77777777" w:rsidR="00203395" w:rsidRDefault="00203395" w:rsidP="00B90EDC">
            <w:pPr>
              <w:rPr>
                <w:rFonts w:ascii="Arial" w:hAnsi="Arial" w:cs="Arial"/>
                <w:sz w:val="24"/>
                <w:szCs w:val="24"/>
              </w:rPr>
            </w:pPr>
          </w:p>
          <w:p w14:paraId="14924CA8" w14:textId="77777777" w:rsidR="00B90EDC" w:rsidRPr="00203395" w:rsidRDefault="00542317" w:rsidP="00B90EDC">
            <w:pPr>
              <w:rPr>
                <w:rFonts w:ascii="Arial" w:hAnsi="Arial" w:cs="Arial"/>
                <w:color w:val="FF0000"/>
                <w:sz w:val="24"/>
                <w:szCs w:val="24"/>
              </w:rPr>
            </w:pPr>
            <w:r w:rsidRPr="00203395">
              <w:rPr>
                <w:rFonts w:ascii="Arial" w:hAnsi="Arial" w:cs="Arial"/>
                <w:sz w:val="24"/>
                <w:szCs w:val="24"/>
              </w:rPr>
              <w:t>The employee will be notified on each occasion we change their contribution rate</w:t>
            </w:r>
          </w:p>
        </w:tc>
      </w:tr>
      <w:tr w:rsidR="000B54EF" w:rsidRPr="000B54EF" w14:paraId="173A4BB7" w14:textId="77777777" w:rsidTr="00BC36AE">
        <w:trPr>
          <w:jc w:val="center"/>
        </w:trPr>
        <w:tc>
          <w:tcPr>
            <w:tcW w:w="2518" w:type="dxa"/>
          </w:tcPr>
          <w:p w14:paraId="782FC9F3" w14:textId="77777777" w:rsidR="00767D7B" w:rsidRPr="000B54EF" w:rsidRDefault="00767D7B" w:rsidP="000E5962">
            <w:pPr>
              <w:rPr>
                <w:rFonts w:ascii="Arial" w:hAnsi="Arial" w:cs="Arial"/>
                <w:b/>
                <w:sz w:val="24"/>
                <w:szCs w:val="24"/>
              </w:rPr>
            </w:pPr>
            <w:r w:rsidRPr="000B54EF">
              <w:rPr>
                <w:rFonts w:ascii="Arial" w:hAnsi="Arial" w:cs="Arial"/>
                <w:b/>
                <w:sz w:val="24"/>
                <w:szCs w:val="24"/>
              </w:rPr>
              <w:t>16</w:t>
            </w:r>
            <w:r w:rsidR="00342631" w:rsidRPr="000B54EF">
              <w:rPr>
                <w:rFonts w:ascii="Arial" w:hAnsi="Arial" w:cs="Arial"/>
                <w:b/>
                <w:sz w:val="24"/>
                <w:szCs w:val="24"/>
              </w:rPr>
              <w:t>*</w:t>
            </w:r>
            <w:r w:rsidRPr="000B54EF">
              <w:rPr>
                <w:rFonts w:ascii="Arial" w:hAnsi="Arial" w:cs="Arial"/>
                <w:b/>
                <w:sz w:val="24"/>
                <w:szCs w:val="24"/>
              </w:rPr>
              <w:t>.</w:t>
            </w:r>
          </w:p>
        </w:tc>
        <w:tc>
          <w:tcPr>
            <w:tcW w:w="6662" w:type="dxa"/>
          </w:tcPr>
          <w:p w14:paraId="5C636F41" w14:textId="77777777" w:rsidR="00767D7B" w:rsidRPr="000B54EF" w:rsidRDefault="00767D7B" w:rsidP="000E5962">
            <w:pPr>
              <w:rPr>
                <w:rFonts w:ascii="Arial" w:hAnsi="Arial" w:cs="Arial"/>
                <w:sz w:val="24"/>
                <w:szCs w:val="24"/>
              </w:rPr>
            </w:pPr>
            <w:r w:rsidRPr="000B54EF">
              <w:rPr>
                <w:rFonts w:ascii="Arial" w:hAnsi="Arial" w:cs="Arial"/>
                <w:sz w:val="24"/>
                <w:szCs w:val="24"/>
              </w:rPr>
              <w:t>Whether, how much, and in what circumstances to contribute to a shared cost A</w:t>
            </w:r>
            <w:r w:rsidR="00031764" w:rsidRPr="000B54EF">
              <w:rPr>
                <w:rFonts w:ascii="Arial" w:hAnsi="Arial" w:cs="Arial"/>
                <w:sz w:val="24"/>
                <w:szCs w:val="24"/>
              </w:rPr>
              <w:t xml:space="preserve">dditional </w:t>
            </w:r>
            <w:r w:rsidRPr="000B54EF">
              <w:rPr>
                <w:rFonts w:ascii="Arial" w:hAnsi="Arial" w:cs="Arial"/>
                <w:sz w:val="24"/>
                <w:szCs w:val="24"/>
              </w:rPr>
              <w:t>P</w:t>
            </w:r>
            <w:r w:rsidR="00031764" w:rsidRPr="000B54EF">
              <w:rPr>
                <w:rFonts w:ascii="Arial" w:hAnsi="Arial" w:cs="Arial"/>
                <w:sz w:val="24"/>
                <w:szCs w:val="24"/>
              </w:rPr>
              <w:t xml:space="preserve">ension </w:t>
            </w:r>
            <w:r w:rsidRPr="000B54EF">
              <w:rPr>
                <w:rFonts w:ascii="Arial" w:hAnsi="Arial" w:cs="Arial"/>
                <w:sz w:val="24"/>
                <w:szCs w:val="24"/>
              </w:rPr>
              <w:t>C</w:t>
            </w:r>
            <w:r w:rsidR="00031764" w:rsidRPr="000B54EF">
              <w:rPr>
                <w:rFonts w:ascii="Arial" w:hAnsi="Arial" w:cs="Arial"/>
                <w:sz w:val="24"/>
                <w:szCs w:val="24"/>
              </w:rPr>
              <w:t>ontribution (APC)</w:t>
            </w:r>
            <w:r w:rsidRPr="000B54EF">
              <w:rPr>
                <w:rFonts w:ascii="Arial" w:hAnsi="Arial" w:cs="Arial"/>
                <w:sz w:val="24"/>
                <w:szCs w:val="24"/>
              </w:rPr>
              <w:t xml:space="preserve"> scheme.</w:t>
            </w:r>
          </w:p>
          <w:p w14:paraId="6DAFF3BE" w14:textId="77777777" w:rsidR="00031764" w:rsidRPr="000B54EF" w:rsidRDefault="00031764" w:rsidP="000E5962">
            <w:pPr>
              <w:rPr>
                <w:rFonts w:ascii="Arial" w:hAnsi="Arial" w:cs="Arial"/>
                <w:sz w:val="24"/>
                <w:szCs w:val="24"/>
              </w:rPr>
            </w:pPr>
          </w:p>
          <w:p w14:paraId="1226A5C7" w14:textId="77777777" w:rsidR="00031764" w:rsidRPr="000B54EF" w:rsidRDefault="00031764" w:rsidP="00031764">
            <w:pPr>
              <w:pStyle w:val="ListParagraph"/>
              <w:numPr>
                <w:ilvl w:val="0"/>
                <w:numId w:val="1"/>
              </w:numPr>
              <w:rPr>
                <w:rFonts w:ascii="Arial" w:hAnsi="Arial" w:cs="Arial"/>
                <w:sz w:val="24"/>
                <w:szCs w:val="24"/>
              </w:rPr>
            </w:pPr>
            <w:r w:rsidRPr="000B54EF">
              <w:rPr>
                <w:rFonts w:ascii="Arial" w:hAnsi="Arial" w:cs="Arial"/>
                <w:sz w:val="24"/>
                <w:szCs w:val="24"/>
              </w:rPr>
              <w:t>A scheme member can choose to buy extra annual pension up to a</w:t>
            </w:r>
            <w:r w:rsidR="002E5D2F" w:rsidRPr="000B54EF">
              <w:rPr>
                <w:rFonts w:ascii="Arial" w:hAnsi="Arial" w:cs="Arial"/>
                <w:sz w:val="24"/>
                <w:szCs w:val="24"/>
              </w:rPr>
              <w:t xml:space="preserve"> maximum of £6,500 using an APC.  The employee can choose to make regular </w:t>
            </w:r>
            <w:r w:rsidR="002E5D2F" w:rsidRPr="000B54EF">
              <w:rPr>
                <w:rFonts w:ascii="Arial" w:hAnsi="Arial" w:cs="Arial"/>
                <w:sz w:val="24"/>
                <w:szCs w:val="24"/>
              </w:rPr>
              <w:lastRenderedPageBreak/>
              <w:t>contributions or a one off payment.  An employer can choose to fund the APC in whole or in part.</w:t>
            </w:r>
          </w:p>
          <w:p w14:paraId="6FB2908B" w14:textId="77777777" w:rsidR="002E5D2F" w:rsidRPr="000B54EF" w:rsidRDefault="004B6A7D" w:rsidP="00031764">
            <w:pPr>
              <w:pStyle w:val="ListParagraph"/>
              <w:numPr>
                <w:ilvl w:val="0"/>
                <w:numId w:val="1"/>
              </w:numPr>
              <w:rPr>
                <w:rFonts w:ascii="Arial" w:hAnsi="Arial" w:cs="Arial"/>
                <w:sz w:val="24"/>
                <w:szCs w:val="24"/>
              </w:rPr>
            </w:pPr>
            <w:r w:rsidRPr="000B54EF">
              <w:rPr>
                <w:rFonts w:ascii="Arial" w:hAnsi="Arial" w:cs="Arial"/>
                <w:sz w:val="24"/>
                <w:szCs w:val="24"/>
              </w:rPr>
              <w:t>To buy</w:t>
            </w:r>
            <w:r w:rsidR="002E5D2F" w:rsidRPr="000B54EF">
              <w:rPr>
                <w:rFonts w:ascii="Arial" w:hAnsi="Arial" w:cs="Arial"/>
                <w:sz w:val="24"/>
                <w:szCs w:val="24"/>
              </w:rPr>
              <w:t xml:space="preserve"> ‘lost’ pension for authorised leave of absence (including any period of unpaid additional maternity, paternity or adoption leave)</w:t>
            </w:r>
            <w:r w:rsidR="00102EC0" w:rsidRPr="000B54EF">
              <w:rPr>
                <w:rFonts w:ascii="Arial" w:hAnsi="Arial" w:cs="Arial"/>
                <w:sz w:val="24"/>
                <w:szCs w:val="24"/>
              </w:rPr>
              <w:t>.  Where an employee elects to pay an APC to purchase any or all of the amount of pension ‘lost’ during the period of absence and makes the election within 30 days of returning to work the employer shall pay 2/3rds of the cost of the APC (a shared cost APC).</w:t>
            </w:r>
          </w:p>
        </w:tc>
        <w:tc>
          <w:tcPr>
            <w:tcW w:w="4994" w:type="dxa"/>
          </w:tcPr>
          <w:p w14:paraId="306008C0" w14:textId="77777777" w:rsidR="002F4D59" w:rsidRDefault="002F4D59" w:rsidP="000B2E57">
            <w:pPr>
              <w:rPr>
                <w:rFonts w:ascii="Arial" w:hAnsi="Arial" w:cs="Arial"/>
                <w:sz w:val="24"/>
                <w:szCs w:val="24"/>
              </w:rPr>
            </w:pPr>
          </w:p>
          <w:p w14:paraId="6F3C8916" w14:textId="77777777" w:rsidR="002F4D59" w:rsidRDefault="002F4D59" w:rsidP="000B2E57">
            <w:pPr>
              <w:rPr>
                <w:rFonts w:ascii="Arial" w:hAnsi="Arial" w:cs="Arial"/>
                <w:sz w:val="24"/>
                <w:szCs w:val="24"/>
              </w:rPr>
            </w:pPr>
          </w:p>
          <w:p w14:paraId="0063FAF2" w14:textId="77777777" w:rsidR="002F4D59" w:rsidRDefault="002F4D59" w:rsidP="000B2E57">
            <w:pPr>
              <w:rPr>
                <w:rFonts w:ascii="Arial" w:hAnsi="Arial" w:cs="Arial"/>
                <w:sz w:val="24"/>
                <w:szCs w:val="24"/>
              </w:rPr>
            </w:pPr>
          </w:p>
          <w:p w14:paraId="169EC366" w14:textId="77777777" w:rsidR="002F4D59" w:rsidRDefault="002F4D59" w:rsidP="000B2E57">
            <w:pPr>
              <w:rPr>
                <w:rFonts w:ascii="Arial" w:hAnsi="Arial" w:cs="Arial"/>
                <w:sz w:val="24"/>
                <w:szCs w:val="24"/>
              </w:rPr>
            </w:pPr>
          </w:p>
          <w:p w14:paraId="63BADD58" w14:textId="77777777" w:rsidR="000B2E57" w:rsidRPr="009D33D8" w:rsidRDefault="00F75E2F" w:rsidP="000B2E57">
            <w:pPr>
              <w:rPr>
                <w:rFonts w:ascii="Arial" w:hAnsi="Arial" w:cs="Arial"/>
                <w:sz w:val="24"/>
                <w:szCs w:val="24"/>
              </w:rPr>
            </w:pPr>
            <w:r>
              <w:rPr>
                <w:rFonts w:ascii="Arial" w:hAnsi="Arial" w:cs="Arial"/>
                <w:sz w:val="24"/>
                <w:szCs w:val="24"/>
              </w:rPr>
              <w:t>T</w:t>
            </w:r>
            <w:r w:rsidR="000B2E57" w:rsidRPr="009D33D8">
              <w:rPr>
                <w:rFonts w:ascii="Arial" w:hAnsi="Arial" w:cs="Arial"/>
                <w:sz w:val="24"/>
                <w:szCs w:val="24"/>
              </w:rPr>
              <w:t xml:space="preserve">he policy in a) is for the </w:t>
            </w:r>
            <w:r w:rsidR="008F5E35" w:rsidRPr="009D33D8">
              <w:rPr>
                <w:rFonts w:ascii="Arial" w:hAnsi="Arial" w:cs="Arial"/>
                <w:sz w:val="24"/>
                <w:szCs w:val="24"/>
              </w:rPr>
              <w:t>District</w:t>
            </w:r>
            <w:r w:rsidR="000B2E57" w:rsidRPr="009D33D8">
              <w:rPr>
                <w:rFonts w:ascii="Arial" w:hAnsi="Arial" w:cs="Arial"/>
                <w:sz w:val="24"/>
                <w:szCs w:val="24"/>
              </w:rPr>
              <w:t xml:space="preserve"> Council not to fund the APC in whole or in part.</w:t>
            </w:r>
          </w:p>
          <w:p w14:paraId="12CA7782" w14:textId="77777777" w:rsidR="000B2E57" w:rsidRPr="009D33D8" w:rsidRDefault="000B2E57" w:rsidP="000B2E57">
            <w:pPr>
              <w:rPr>
                <w:rFonts w:ascii="Arial" w:hAnsi="Arial" w:cs="Arial"/>
                <w:sz w:val="24"/>
                <w:szCs w:val="24"/>
              </w:rPr>
            </w:pPr>
          </w:p>
          <w:p w14:paraId="7C57698D" w14:textId="77777777" w:rsidR="00B90EDC" w:rsidRPr="000B54EF" w:rsidRDefault="00B90EDC" w:rsidP="00B90EDC">
            <w:pPr>
              <w:rPr>
                <w:rFonts w:ascii="Arial" w:hAnsi="Arial" w:cs="Arial"/>
                <w:sz w:val="24"/>
                <w:szCs w:val="24"/>
              </w:rPr>
            </w:pPr>
          </w:p>
          <w:p w14:paraId="40793052" w14:textId="77777777" w:rsidR="002F4D59" w:rsidRDefault="002F4D59" w:rsidP="00B90EDC">
            <w:pPr>
              <w:rPr>
                <w:rFonts w:ascii="Arial" w:hAnsi="Arial" w:cs="Arial"/>
                <w:sz w:val="24"/>
                <w:szCs w:val="24"/>
              </w:rPr>
            </w:pPr>
          </w:p>
          <w:p w14:paraId="043F9B6D" w14:textId="77777777" w:rsidR="00B90EDC" w:rsidRPr="000B54EF" w:rsidRDefault="0052659D" w:rsidP="00B90EDC">
            <w:pPr>
              <w:rPr>
                <w:rFonts w:ascii="Arial" w:hAnsi="Arial" w:cs="Arial"/>
                <w:sz w:val="24"/>
                <w:szCs w:val="24"/>
              </w:rPr>
            </w:pPr>
            <w:r>
              <w:rPr>
                <w:rFonts w:ascii="Arial" w:hAnsi="Arial" w:cs="Arial"/>
                <w:sz w:val="24"/>
                <w:szCs w:val="24"/>
              </w:rPr>
              <w:t>In respect of b), there is no option, and the Council must fund the 2/3rds of the cost of the APC.</w:t>
            </w:r>
          </w:p>
        </w:tc>
      </w:tr>
      <w:tr w:rsidR="000B54EF" w:rsidRPr="000B54EF" w14:paraId="764CCFA6" w14:textId="77777777" w:rsidTr="00BC36AE">
        <w:trPr>
          <w:jc w:val="center"/>
        </w:trPr>
        <w:tc>
          <w:tcPr>
            <w:tcW w:w="2518" w:type="dxa"/>
          </w:tcPr>
          <w:p w14:paraId="327757EA" w14:textId="77777777" w:rsidR="004A21A3" w:rsidRPr="000B54EF" w:rsidRDefault="004A21A3" w:rsidP="000E5962">
            <w:pPr>
              <w:rPr>
                <w:rFonts w:ascii="Arial" w:hAnsi="Arial" w:cs="Arial"/>
                <w:b/>
                <w:sz w:val="24"/>
                <w:szCs w:val="24"/>
              </w:rPr>
            </w:pPr>
            <w:r w:rsidRPr="000B54EF">
              <w:rPr>
                <w:rFonts w:ascii="Arial" w:hAnsi="Arial" w:cs="Arial"/>
                <w:b/>
                <w:sz w:val="24"/>
                <w:szCs w:val="24"/>
              </w:rPr>
              <w:lastRenderedPageBreak/>
              <w:t>17.</w:t>
            </w:r>
          </w:p>
        </w:tc>
        <w:tc>
          <w:tcPr>
            <w:tcW w:w="6662" w:type="dxa"/>
          </w:tcPr>
          <w:p w14:paraId="27747AD6" w14:textId="77777777" w:rsidR="004A21A3" w:rsidRPr="000B54EF" w:rsidRDefault="004A21A3" w:rsidP="000E5962">
            <w:pPr>
              <w:rPr>
                <w:rFonts w:ascii="Arial" w:hAnsi="Arial" w:cs="Arial"/>
                <w:sz w:val="24"/>
                <w:szCs w:val="24"/>
              </w:rPr>
            </w:pPr>
            <w:r w:rsidRPr="000B54EF">
              <w:rPr>
                <w:rFonts w:ascii="Arial" w:hAnsi="Arial" w:cs="Arial"/>
                <w:sz w:val="24"/>
                <w:szCs w:val="24"/>
              </w:rPr>
              <w:t>Whether, how much, and in what circumstances to contribute to shared cost AVC arrangements entered into on or after 1 April 2014.</w:t>
            </w:r>
          </w:p>
        </w:tc>
        <w:tc>
          <w:tcPr>
            <w:tcW w:w="4994" w:type="dxa"/>
          </w:tcPr>
          <w:p w14:paraId="1E9B0B54" w14:textId="77777777" w:rsidR="008F5E35" w:rsidRPr="008F5E35" w:rsidRDefault="007E6D19" w:rsidP="0052659D">
            <w:pPr>
              <w:rPr>
                <w:rFonts w:ascii="Arial" w:hAnsi="Arial" w:cs="Arial"/>
                <w:sz w:val="24"/>
                <w:szCs w:val="24"/>
              </w:rPr>
            </w:pPr>
            <w:r>
              <w:rPr>
                <w:rFonts w:ascii="Arial" w:hAnsi="Arial" w:cs="Arial"/>
                <w:sz w:val="24"/>
                <w:szCs w:val="24"/>
              </w:rPr>
              <w:t>The Council’s policy is that n</w:t>
            </w:r>
            <w:r w:rsidR="000B2E57" w:rsidRPr="008F5E35">
              <w:rPr>
                <w:rFonts w:ascii="Arial" w:hAnsi="Arial" w:cs="Arial"/>
                <w:sz w:val="24"/>
                <w:szCs w:val="24"/>
              </w:rPr>
              <w:t xml:space="preserve">o Shared Cost AVC </w:t>
            </w:r>
            <w:r>
              <w:rPr>
                <w:rFonts w:ascii="Arial" w:hAnsi="Arial" w:cs="Arial"/>
                <w:sz w:val="24"/>
                <w:szCs w:val="24"/>
              </w:rPr>
              <w:t>will</w:t>
            </w:r>
            <w:r w:rsidR="000B2E57" w:rsidRPr="008F5E35">
              <w:rPr>
                <w:rFonts w:ascii="Arial" w:hAnsi="Arial" w:cs="Arial"/>
                <w:sz w:val="24"/>
                <w:szCs w:val="24"/>
              </w:rPr>
              <w:t xml:space="preserve"> be established</w:t>
            </w:r>
            <w:r w:rsidR="0052659D" w:rsidRPr="008F5E35">
              <w:rPr>
                <w:rFonts w:ascii="Arial" w:hAnsi="Arial" w:cs="Arial"/>
                <w:sz w:val="24"/>
                <w:szCs w:val="24"/>
              </w:rPr>
              <w:t xml:space="preserve">. </w:t>
            </w:r>
          </w:p>
          <w:p w14:paraId="3D0E5308" w14:textId="77777777" w:rsidR="008F5E35" w:rsidRPr="008F5E35" w:rsidRDefault="008F5E35" w:rsidP="0052659D">
            <w:pPr>
              <w:rPr>
                <w:rFonts w:ascii="Arial" w:hAnsi="Arial" w:cs="Arial"/>
                <w:sz w:val="24"/>
                <w:szCs w:val="24"/>
              </w:rPr>
            </w:pPr>
          </w:p>
          <w:p w14:paraId="6994389D" w14:textId="77777777" w:rsidR="004A21A3" w:rsidRPr="000B54EF" w:rsidRDefault="004A21A3" w:rsidP="008F5E35">
            <w:pPr>
              <w:rPr>
                <w:rFonts w:ascii="Arial" w:hAnsi="Arial" w:cs="Arial"/>
                <w:sz w:val="24"/>
                <w:szCs w:val="24"/>
              </w:rPr>
            </w:pPr>
          </w:p>
        </w:tc>
      </w:tr>
      <w:tr w:rsidR="000B54EF" w:rsidRPr="000B54EF" w14:paraId="5AE8D166" w14:textId="77777777" w:rsidTr="00BC36AE">
        <w:trPr>
          <w:jc w:val="center"/>
        </w:trPr>
        <w:tc>
          <w:tcPr>
            <w:tcW w:w="2518" w:type="dxa"/>
          </w:tcPr>
          <w:p w14:paraId="7BC713BA" w14:textId="77777777" w:rsidR="00D70D0E" w:rsidRPr="000B54EF" w:rsidRDefault="00D70D0E" w:rsidP="000E5962">
            <w:pPr>
              <w:rPr>
                <w:rFonts w:ascii="Arial" w:hAnsi="Arial" w:cs="Arial"/>
                <w:b/>
                <w:sz w:val="24"/>
                <w:szCs w:val="24"/>
              </w:rPr>
            </w:pPr>
            <w:r w:rsidRPr="000B54EF">
              <w:rPr>
                <w:rFonts w:ascii="Arial" w:hAnsi="Arial" w:cs="Arial"/>
                <w:b/>
                <w:sz w:val="24"/>
                <w:szCs w:val="24"/>
              </w:rPr>
              <w:t>20.</w:t>
            </w:r>
          </w:p>
        </w:tc>
        <w:tc>
          <w:tcPr>
            <w:tcW w:w="6662" w:type="dxa"/>
          </w:tcPr>
          <w:p w14:paraId="1F4CD3AA" w14:textId="77777777" w:rsidR="00D70D0E" w:rsidRPr="000B54EF" w:rsidRDefault="00D70D0E" w:rsidP="000E5962">
            <w:pPr>
              <w:rPr>
                <w:rFonts w:ascii="Arial" w:hAnsi="Arial" w:cs="Arial"/>
                <w:sz w:val="24"/>
                <w:szCs w:val="24"/>
              </w:rPr>
            </w:pPr>
            <w:r w:rsidRPr="000B54EF">
              <w:rPr>
                <w:rFonts w:ascii="Arial" w:hAnsi="Arial" w:cs="Arial"/>
                <w:sz w:val="24"/>
                <w:szCs w:val="24"/>
              </w:rPr>
              <w:t>Specify in an employee’s contract what other payments or benefi</w:t>
            </w:r>
            <w:r w:rsidR="00BF68C5" w:rsidRPr="000B54EF">
              <w:rPr>
                <w:rFonts w:ascii="Arial" w:hAnsi="Arial" w:cs="Arial"/>
                <w:sz w:val="24"/>
                <w:szCs w:val="24"/>
              </w:rPr>
              <w:t>ts, other than specified in Reg</w:t>
            </w:r>
            <w:r w:rsidRPr="000B54EF">
              <w:rPr>
                <w:rFonts w:ascii="Arial" w:hAnsi="Arial" w:cs="Arial"/>
                <w:sz w:val="24"/>
                <w:szCs w:val="24"/>
              </w:rPr>
              <w:t>20(1)(a) and not otherwise precluded by Reg20(2), are to be pensionable.</w:t>
            </w:r>
          </w:p>
        </w:tc>
        <w:tc>
          <w:tcPr>
            <w:tcW w:w="4994" w:type="dxa"/>
          </w:tcPr>
          <w:p w14:paraId="6160D56E" w14:textId="77777777" w:rsidR="00D70D0E" w:rsidRPr="000B54EF" w:rsidRDefault="00732ADF" w:rsidP="00732ADF">
            <w:pPr>
              <w:rPr>
                <w:rFonts w:ascii="Arial" w:hAnsi="Arial" w:cs="Arial"/>
                <w:sz w:val="24"/>
                <w:szCs w:val="24"/>
              </w:rPr>
            </w:pPr>
            <w:r>
              <w:rPr>
                <w:rFonts w:ascii="Arial" w:hAnsi="Arial" w:cs="Arial"/>
                <w:sz w:val="24"/>
                <w:szCs w:val="24"/>
              </w:rPr>
              <w:t xml:space="preserve">Payments </w:t>
            </w:r>
            <w:r w:rsidR="00B90EDC" w:rsidRPr="000B54EF">
              <w:rPr>
                <w:rFonts w:ascii="Arial" w:hAnsi="Arial" w:cs="Arial"/>
                <w:sz w:val="24"/>
                <w:szCs w:val="24"/>
              </w:rPr>
              <w:t>will be stated as either pensionable or non-pensionable in the employee’s employment contract</w:t>
            </w:r>
            <w:r w:rsidR="003F3FDD" w:rsidRPr="000B54EF">
              <w:rPr>
                <w:rFonts w:ascii="Arial" w:hAnsi="Arial" w:cs="Arial"/>
                <w:sz w:val="24"/>
                <w:szCs w:val="24"/>
              </w:rPr>
              <w:t xml:space="preserve"> or contract variations</w:t>
            </w:r>
            <w:r w:rsidR="00B90EDC" w:rsidRPr="000B54EF">
              <w:rPr>
                <w:rFonts w:ascii="Arial" w:hAnsi="Arial" w:cs="Arial"/>
                <w:sz w:val="24"/>
                <w:szCs w:val="24"/>
              </w:rPr>
              <w:t xml:space="preserve">.  </w:t>
            </w:r>
          </w:p>
        </w:tc>
      </w:tr>
      <w:tr w:rsidR="000B54EF" w:rsidRPr="000B54EF" w14:paraId="2308AF0F" w14:textId="77777777" w:rsidTr="00BC36AE">
        <w:trPr>
          <w:jc w:val="center"/>
        </w:trPr>
        <w:tc>
          <w:tcPr>
            <w:tcW w:w="2518" w:type="dxa"/>
          </w:tcPr>
          <w:p w14:paraId="30B61A3C" w14:textId="77777777" w:rsidR="00BF68C5" w:rsidRPr="000B54EF" w:rsidRDefault="00BF68C5" w:rsidP="000E5962">
            <w:pPr>
              <w:rPr>
                <w:rFonts w:ascii="Arial" w:hAnsi="Arial" w:cs="Arial"/>
                <w:b/>
                <w:sz w:val="24"/>
                <w:szCs w:val="24"/>
              </w:rPr>
            </w:pPr>
            <w:r w:rsidRPr="000B54EF">
              <w:rPr>
                <w:rFonts w:ascii="Arial" w:hAnsi="Arial" w:cs="Arial"/>
                <w:b/>
                <w:sz w:val="24"/>
                <w:szCs w:val="24"/>
              </w:rPr>
              <w:t>22(7)(b).</w:t>
            </w:r>
          </w:p>
        </w:tc>
        <w:tc>
          <w:tcPr>
            <w:tcW w:w="6662" w:type="dxa"/>
          </w:tcPr>
          <w:p w14:paraId="55194404" w14:textId="77777777" w:rsidR="00BF68C5" w:rsidRPr="000B54EF" w:rsidRDefault="00BF68C5" w:rsidP="000E5962">
            <w:pPr>
              <w:rPr>
                <w:rFonts w:ascii="Arial" w:hAnsi="Arial" w:cs="Arial"/>
                <w:sz w:val="24"/>
                <w:szCs w:val="24"/>
              </w:rPr>
            </w:pPr>
            <w:r w:rsidRPr="000B54EF">
              <w:rPr>
                <w:rFonts w:ascii="Arial" w:hAnsi="Arial" w:cs="Arial"/>
                <w:sz w:val="24"/>
                <w:szCs w:val="24"/>
              </w:rPr>
              <w:t>Whether to extend the 12 month option period for a member to elect that deferred benefits should not be aggregated with an ongoing concurrent employment.</w:t>
            </w:r>
          </w:p>
        </w:tc>
        <w:tc>
          <w:tcPr>
            <w:tcW w:w="4994" w:type="dxa"/>
          </w:tcPr>
          <w:p w14:paraId="45532D96" w14:textId="77777777" w:rsidR="006044AD" w:rsidRPr="000B54EF" w:rsidRDefault="007E6D19" w:rsidP="004A21A3">
            <w:pPr>
              <w:rPr>
                <w:rFonts w:ascii="Arial" w:hAnsi="Arial" w:cs="Arial"/>
                <w:sz w:val="24"/>
                <w:szCs w:val="24"/>
              </w:rPr>
            </w:pPr>
            <w:r>
              <w:rPr>
                <w:rFonts w:ascii="Arial" w:hAnsi="Arial" w:cs="Arial"/>
                <w:sz w:val="24"/>
                <w:szCs w:val="24"/>
              </w:rPr>
              <w:t xml:space="preserve">An extension will be </w:t>
            </w:r>
            <w:r w:rsidR="006044AD" w:rsidRPr="000B54EF">
              <w:rPr>
                <w:rFonts w:ascii="Arial" w:hAnsi="Arial" w:cs="Arial"/>
                <w:sz w:val="24"/>
                <w:szCs w:val="24"/>
              </w:rPr>
              <w:t>allow</w:t>
            </w:r>
            <w:r>
              <w:rPr>
                <w:rFonts w:ascii="Arial" w:hAnsi="Arial" w:cs="Arial"/>
                <w:sz w:val="24"/>
                <w:szCs w:val="24"/>
              </w:rPr>
              <w:t>ed</w:t>
            </w:r>
            <w:r w:rsidR="006044AD" w:rsidRPr="000B54EF">
              <w:rPr>
                <w:rFonts w:ascii="Arial" w:hAnsi="Arial" w:cs="Arial"/>
                <w:sz w:val="24"/>
                <w:szCs w:val="24"/>
              </w:rPr>
              <w:t xml:space="preserve"> in exceptional circumstances where it is clear there has been an administrative delay by the employer or the scheme administrator.</w:t>
            </w:r>
          </w:p>
        </w:tc>
      </w:tr>
      <w:tr w:rsidR="000B54EF" w:rsidRPr="000B54EF" w14:paraId="1DBA5D95" w14:textId="77777777" w:rsidTr="00BC36AE">
        <w:trPr>
          <w:jc w:val="center"/>
        </w:trPr>
        <w:tc>
          <w:tcPr>
            <w:tcW w:w="2518" w:type="dxa"/>
          </w:tcPr>
          <w:p w14:paraId="1F308494" w14:textId="77777777" w:rsidR="00BF68C5" w:rsidRPr="000B54EF" w:rsidRDefault="00BF68C5" w:rsidP="000E5962">
            <w:pPr>
              <w:rPr>
                <w:rFonts w:ascii="Arial" w:hAnsi="Arial" w:cs="Arial"/>
                <w:b/>
                <w:sz w:val="24"/>
                <w:szCs w:val="24"/>
              </w:rPr>
            </w:pPr>
            <w:r w:rsidRPr="000B54EF">
              <w:rPr>
                <w:rFonts w:ascii="Arial" w:hAnsi="Arial" w:cs="Arial"/>
                <w:b/>
                <w:sz w:val="24"/>
                <w:szCs w:val="24"/>
              </w:rPr>
              <w:t>22(8)(b).</w:t>
            </w:r>
          </w:p>
        </w:tc>
        <w:tc>
          <w:tcPr>
            <w:tcW w:w="6662" w:type="dxa"/>
          </w:tcPr>
          <w:p w14:paraId="235AE919" w14:textId="77777777" w:rsidR="00BF68C5" w:rsidRPr="000B54EF" w:rsidRDefault="00BF68C5" w:rsidP="000E5962">
            <w:pPr>
              <w:rPr>
                <w:rFonts w:ascii="Arial" w:hAnsi="Arial" w:cs="Arial"/>
                <w:sz w:val="24"/>
                <w:szCs w:val="24"/>
              </w:rPr>
            </w:pPr>
            <w:r w:rsidRPr="000B54EF">
              <w:rPr>
                <w:rFonts w:ascii="Arial" w:hAnsi="Arial" w:cs="Arial"/>
                <w:sz w:val="24"/>
                <w:szCs w:val="24"/>
              </w:rPr>
              <w:t>Whether to extend the 12 month option period for a member to elect that deferred benefits should not be aggregated with a new employment.</w:t>
            </w:r>
          </w:p>
        </w:tc>
        <w:tc>
          <w:tcPr>
            <w:tcW w:w="4994" w:type="dxa"/>
          </w:tcPr>
          <w:p w14:paraId="71AD3AEC" w14:textId="77777777" w:rsidR="00BF68C5" w:rsidRPr="000B54EF" w:rsidRDefault="007E6D19" w:rsidP="006044AD">
            <w:pPr>
              <w:rPr>
                <w:rFonts w:ascii="Arial" w:hAnsi="Arial" w:cs="Arial"/>
                <w:sz w:val="24"/>
                <w:szCs w:val="24"/>
              </w:rPr>
            </w:pPr>
            <w:r>
              <w:rPr>
                <w:rFonts w:ascii="Arial" w:hAnsi="Arial" w:cs="Arial"/>
                <w:sz w:val="24"/>
                <w:szCs w:val="24"/>
              </w:rPr>
              <w:t xml:space="preserve">An extension will be </w:t>
            </w:r>
            <w:r w:rsidRPr="000B54EF">
              <w:rPr>
                <w:rFonts w:ascii="Arial" w:hAnsi="Arial" w:cs="Arial"/>
                <w:sz w:val="24"/>
                <w:szCs w:val="24"/>
              </w:rPr>
              <w:t>allow</w:t>
            </w:r>
            <w:r>
              <w:rPr>
                <w:rFonts w:ascii="Arial" w:hAnsi="Arial" w:cs="Arial"/>
                <w:sz w:val="24"/>
                <w:szCs w:val="24"/>
              </w:rPr>
              <w:t>ed</w:t>
            </w:r>
            <w:r w:rsidRPr="000B54EF">
              <w:rPr>
                <w:rFonts w:ascii="Arial" w:hAnsi="Arial" w:cs="Arial"/>
                <w:sz w:val="24"/>
                <w:szCs w:val="24"/>
              </w:rPr>
              <w:t xml:space="preserve"> </w:t>
            </w:r>
            <w:r w:rsidR="006044AD" w:rsidRPr="000B54EF">
              <w:rPr>
                <w:rFonts w:ascii="Arial" w:hAnsi="Arial" w:cs="Arial"/>
                <w:sz w:val="24"/>
                <w:szCs w:val="24"/>
              </w:rPr>
              <w:t>in exceptional circumstances where it is clear there has been an administrative delay by the employer or the scheme administrator.</w:t>
            </w:r>
          </w:p>
        </w:tc>
      </w:tr>
      <w:tr w:rsidR="000B54EF" w:rsidRPr="000B54EF" w14:paraId="0D3DC4B7" w14:textId="77777777" w:rsidTr="00BC36AE">
        <w:trPr>
          <w:jc w:val="center"/>
        </w:trPr>
        <w:tc>
          <w:tcPr>
            <w:tcW w:w="2518" w:type="dxa"/>
          </w:tcPr>
          <w:p w14:paraId="11A4DBB2" w14:textId="77777777" w:rsidR="00BF68C5" w:rsidRPr="000B54EF" w:rsidRDefault="00BF68C5" w:rsidP="000E5962">
            <w:pPr>
              <w:rPr>
                <w:rFonts w:ascii="Arial" w:hAnsi="Arial" w:cs="Arial"/>
                <w:b/>
                <w:sz w:val="24"/>
                <w:szCs w:val="24"/>
              </w:rPr>
            </w:pPr>
            <w:r w:rsidRPr="000B54EF">
              <w:rPr>
                <w:rFonts w:ascii="Arial" w:hAnsi="Arial" w:cs="Arial"/>
                <w:b/>
                <w:sz w:val="24"/>
                <w:szCs w:val="24"/>
              </w:rPr>
              <w:t>30(6)</w:t>
            </w:r>
            <w:r w:rsidR="00342631" w:rsidRPr="000B54EF">
              <w:rPr>
                <w:rFonts w:ascii="Arial" w:hAnsi="Arial" w:cs="Arial"/>
                <w:b/>
                <w:sz w:val="24"/>
                <w:szCs w:val="24"/>
              </w:rPr>
              <w:t>*</w:t>
            </w:r>
            <w:r w:rsidRPr="000B54EF">
              <w:rPr>
                <w:rFonts w:ascii="Arial" w:hAnsi="Arial" w:cs="Arial"/>
                <w:b/>
                <w:sz w:val="24"/>
                <w:szCs w:val="24"/>
              </w:rPr>
              <w:t xml:space="preserve"> and Transitional Regs 11(2)</w:t>
            </w:r>
          </w:p>
        </w:tc>
        <w:tc>
          <w:tcPr>
            <w:tcW w:w="6662" w:type="dxa"/>
          </w:tcPr>
          <w:p w14:paraId="7C8D08D6" w14:textId="77777777" w:rsidR="00BF68C5" w:rsidRPr="000B54EF" w:rsidRDefault="00BF68C5" w:rsidP="000E5962">
            <w:pPr>
              <w:rPr>
                <w:rFonts w:ascii="Arial" w:hAnsi="Arial" w:cs="Arial"/>
                <w:sz w:val="24"/>
                <w:szCs w:val="24"/>
              </w:rPr>
            </w:pPr>
            <w:r w:rsidRPr="000B54EF">
              <w:rPr>
                <w:rFonts w:ascii="Arial" w:hAnsi="Arial" w:cs="Arial"/>
                <w:sz w:val="24"/>
                <w:szCs w:val="24"/>
              </w:rPr>
              <w:t>Whether all or some benefits can be paid if an employee reduces their hours or grade (flexible retirement)</w:t>
            </w:r>
          </w:p>
        </w:tc>
        <w:tc>
          <w:tcPr>
            <w:tcW w:w="4994" w:type="dxa"/>
          </w:tcPr>
          <w:p w14:paraId="4998FD64" w14:textId="77777777" w:rsidR="006044AD" w:rsidRPr="000B54EF" w:rsidRDefault="007E6D19" w:rsidP="008F5E35">
            <w:pPr>
              <w:rPr>
                <w:rFonts w:ascii="Arial" w:hAnsi="Arial" w:cs="Arial"/>
                <w:sz w:val="24"/>
                <w:szCs w:val="24"/>
              </w:rPr>
            </w:pPr>
            <w:r w:rsidRPr="008F5E35">
              <w:rPr>
                <w:rFonts w:ascii="Arial" w:hAnsi="Arial" w:cs="Arial"/>
                <w:sz w:val="24"/>
                <w:szCs w:val="24"/>
              </w:rPr>
              <w:t>The</w:t>
            </w:r>
            <w:r w:rsidR="00723EE3" w:rsidRPr="008F5E35">
              <w:rPr>
                <w:rFonts w:ascii="Arial" w:hAnsi="Arial" w:cs="Arial"/>
                <w:sz w:val="24"/>
                <w:szCs w:val="24"/>
              </w:rPr>
              <w:t xml:space="preserve"> Chief </w:t>
            </w:r>
            <w:r w:rsidR="003F3FDD" w:rsidRPr="008F5E35">
              <w:rPr>
                <w:rFonts w:ascii="Arial" w:hAnsi="Arial" w:cs="Arial"/>
                <w:sz w:val="24"/>
                <w:szCs w:val="24"/>
              </w:rPr>
              <w:t>Executive</w:t>
            </w:r>
            <w:r w:rsidR="00723EE3" w:rsidRPr="008F5E35">
              <w:rPr>
                <w:rFonts w:ascii="Arial" w:hAnsi="Arial" w:cs="Arial"/>
                <w:sz w:val="24"/>
                <w:szCs w:val="24"/>
              </w:rPr>
              <w:t xml:space="preserve">, Deputy </w:t>
            </w:r>
            <w:r w:rsidR="008F5E35">
              <w:rPr>
                <w:rFonts w:ascii="Arial" w:hAnsi="Arial" w:cs="Arial"/>
                <w:sz w:val="24"/>
                <w:szCs w:val="24"/>
              </w:rPr>
              <w:t>C</w:t>
            </w:r>
            <w:r w:rsidR="00723EE3" w:rsidRPr="008F5E35">
              <w:rPr>
                <w:rFonts w:ascii="Arial" w:hAnsi="Arial" w:cs="Arial"/>
                <w:sz w:val="24"/>
                <w:szCs w:val="24"/>
              </w:rPr>
              <w:t xml:space="preserve">hief </w:t>
            </w:r>
            <w:r w:rsidR="009D33D8" w:rsidRPr="008F5E35">
              <w:rPr>
                <w:rFonts w:ascii="Arial" w:hAnsi="Arial" w:cs="Arial"/>
                <w:sz w:val="24"/>
                <w:szCs w:val="24"/>
              </w:rPr>
              <w:t>Executive and</w:t>
            </w:r>
            <w:r w:rsidR="003F3FDD" w:rsidRPr="008F5E35">
              <w:rPr>
                <w:rFonts w:ascii="Arial" w:hAnsi="Arial" w:cs="Arial"/>
                <w:sz w:val="24"/>
                <w:szCs w:val="24"/>
              </w:rPr>
              <w:t xml:space="preserve"> Heads of Service </w:t>
            </w:r>
            <w:r w:rsidR="00F56FCE">
              <w:rPr>
                <w:rFonts w:ascii="Arial" w:hAnsi="Arial" w:cs="Arial"/>
                <w:sz w:val="24"/>
                <w:szCs w:val="24"/>
              </w:rPr>
              <w:t xml:space="preserve">have </w:t>
            </w:r>
            <w:r w:rsidR="006044AD" w:rsidRPr="008F5E35">
              <w:rPr>
                <w:rFonts w:ascii="Arial" w:hAnsi="Arial" w:cs="Arial"/>
                <w:sz w:val="24"/>
                <w:szCs w:val="24"/>
              </w:rPr>
              <w:t xml:space="preserve">discretionary power to grant flexible retirement and thus immediate release of all </w:t>
            </w:r>
            <w:r w:rsidR="006044AD" w:rsidRPr="008F5E35">
              <w:rPr>
                <w:rFonts w:ascii="Arial" w:hAnsi="Arial" w:cs="Arial"/>
                <w:sz w:val="24"/>
                <w:szCs w:val="24"/>
              </w:rPr>
              <w:lastRenderedPageBreak/>
              <w:t>or part of pension benefits</w:t>
            </w:r>
            <w:r w:rsidR="009556A6" w:rsidRPr="008F5E35">
              <w:rPr>
                <w:rFonts w:ascii="Arial" w:hAnsi="Arial" w:cs="Arial"/>
                <w:sz w:val="24"/>
                <w:szCs w:val="24"/>
              </w:rPr>
              <w:t xml:space="preserve"> where there is no additional cost to the Council</w:t>
            </w:r>
            <w:r w:rsidR="006044AD" w:rsidRPr="008F5E35">
              <w:rPr>
                <w:rFonts w:ascii="Arial" w:hAnsi="Arial" w:cs="Arial"/>
                <w:sz w:val="24"/>
                <w:szCs w:val="24"/>
              </w:rPr>
              <w:t>.</w:t>
            </w:r>
          </w:p>
        </w:tc>
      </w:tr>
      <w:tr w:rsidR="000B54EF" w:rsidRPr="000B54EF" w14:paraId="10F9B383" w14:textId="77777777" w:rsidTr="00BC36AE">
        <w:trPr>
          <w:jc w:val="center"/>
        </w:trPr>
        <w:tc>
          <w:tcPr>
            <w:tcW w:w="2518" w:type="dxa"/>
          </w:tcPr>
          <w:p w14:paraId="15B05CBA" w14:textId="77777777" w:rsidR="00BF68C5" w:rsidRPr="000B54EF" w:rsidRDefault="00BF68C5" w:rsidP="000E5962">
            <w:pPr>
              <w:rPr>
                <w:rFonts w:ascii="Arial" w:hAnsi="Arial" w:cs="Arial"/>
                <w:b/>
                <w:sz w:val="24"/>
                <w:szCs w:val="24"/>
              </w:rPr>
            </w:pPr>
            <w:r w:rsidRPr="000B54EF">
              <w:rPr>
                <w:rFonts w:ascii="Arial" w:hAnsi="Arial" w:cs="Arial"/>
                <w:b/>
                <w:sz w:val="24"/>
                <w:szCs w:val="24"/>
              </w:rPr>
              <w:lastRenderedPageBreak/>
              <w:t>30(8)</w:t>
            </w:r>
            <w:r w:rsidR="00342631" w:rsidRPr="000B54EF">
              <w:rPr>
                <w:rFonts w:ascii="Arial" w:hAnsi="Arial" w:cs="Arial"/>
                <w:b/>
                <w:sz w:val="24"/>
                <w:szCs w:val="24"/>
              </w:rPr>
              <w:t>*</w:t>
            </w:r>
          </w:p>
        </w:tc>
        <w:tc>
          <w:tcPr>
            <w:tcW w:w="6662" w:type="dxa"/>
          </w:tcPr>
          <w:p w14:paraId="29E2008C" w14:textId="77777777" w:rsidR="00BF68C5" w:rsidRPr="000B54EF" w:rsidRDefault="00BF68C5" w:rsidP="000E5962">
            <w:pPr>
              <w:rPr>
                <w:rFonts w:ascii="Arial" w:hAnsi="Arial" w:cs="Arial"/>
                <w:sz w:val="24"/>
                <w:szCs w:val="24"/>
              </w:rPr>
            </w:pPr>
            <w:r w:rsidRPr="000B54EF">
              <w:rPr>
                <w:rFonts w:ascii="Arial" w:hAnsi="Arial" w:cs="Arial"/>
                <w:sz w:val="24"/>
                <w:szCs w:val="24"/>
              </w:rPr>
              <w:t>Whether to waive, in whole or in part, actuarial reduction on benefits paid on flexible retirement.</w:t>
            </w:r>
          </w:p>
        </w:tc>
        <w:tc>
          <w:tcPr>
            <w:tcW w:w="4994" w:type="dxa"/>
          </w:tcPr>
          <w:p w14:paraId="3505EF1C" w14:textId="77777777" w:rsidR="005D3AF6" w:rsidRPr="005D3AF6" w:rsidRDefault="005D3AF6" w:rsidP="009009B1">
            <w:pPr>
              <w:rPr>
                <w:rFonts w:ascii="Arial" w:hAnsi="Arial" w:cs="Arial"/>
                <w:bCs/>
                <w:sz w:val="24"/>
                <w:szCs w:val="24"/>
              </w:rPr>
            </w:pPr>
            <w:r w:rsidRPr="005D3AF6">
              <w:rPr>
                <w:rFonts w:ascii="Arial" w:hAnsi="Arial" w:cs="Arial"/>
                <w:sz w:val="24"/>
                <w:szCs w:val="24"/>
              </w:rPr>
              <w:t>The Council may choose to waive this reduction in exceptional circumstances e.g. where the employee has had to amend their working arrangements to care for a chronically ill partner. </w:t>
            </w:r>
          </w:p>
          <w:p w14:paraId="3FB2DAE4" w14:textId="77777777" w:rsidR="005D3AF6" w:rsidRPr="005D3AF6" w:rsidRDefault="005D3AF6" w:rsidP="009009B1">
            <w:pPr>
              <w:rPr>
                <w:rFonts w:ascii="Arial" w:hAnsi="Arial" w:cs="Arial"/>
                <w:bCs/>
                <w:sz w:val="24"/>
                <w:szCs w:val="24"/>
              </w:rPr>
            </w:pPr>
            <w:r w:rsidRPr="005D3AF6">
              <w:rPr>
                <w:rFonts w:ascii="Arial" w:hAnsi="Arial" w:cs="Arial"/>
                <w:sz w:val="24"/>
                <w:szCs w:val="24"/>
              </w:rPr>
              <w:t>Ill-health which does not meet the ill-health retirement criteria for an enhanced pension where the reduction in hours is supported by an Independent Occupational Health Adviser.</w:t>
            </w:r>
          </w:p>
          <w:p w14:paraId="4B842EE0" w14:textId="77777777" w:rsidR="005D3AF6" w:rsidRDefault="005D3AF6" w:rsidP="004A21A3">
            <w:pPr>
              <w:rPr>
                <w:rFonts w:ascii="Arial" w:hAnsi="Arial" w:cs="Arial"/>
                <w:sz w:val="24"/>
                <w:szCs w:val="24"/>
              </w:rPr>
            </w:pPr>
          </w:p>
          <w:p w14:paraId="29071D3F" w14:textId="77777777" w:rsidR="009009B1" w:rsidRPr="009009B1" w:rsidRDefault="009009B1" w:rsidP="004A21A3">
            <w:pPr>
              <w:rPr>
                <w:rFonts w:ascii="Arial" w:hAnsi="Arial" w:cs="Arial"/>
                <w:sz w:val="24"/>
                <w:szCs w:val="24"/>
              </w:rPr>
            </w:pPr>
            <w:r>
              <w:rPr>
                <w:rFonts w:ascii="Arial" w:hAnsi="Arial" w:cs="Arial"/>
                <w:sz w:val="24"/>
                <w:szCs w:val="24"/>
              </w:rPr>
              <w:t>T</w:t>
            </w:r>
            <w:r w:rsidRPr="009009B1">
              <w:rPr>
                <w:rFonts w:ascii="Arial" w:hAnsi="Arial" w:cs="Arial"/>
                <w:sz w:val="24"/>
                <w:szCs w:val="24"/>
              </w:rPr>
              <w:t>his being subject to funding being agreed by the Executive.</w:t>
            </w:r>
          </w:p>
        </w:tc>
      </w:tr>
      <w:tr w:rsidR="000B54EF" w:rsidRPr="000B54EF" w14:paraId="22903F09" w14:textId="77777777" w:rsidTr="00BC36AE">
        <w:trPr>
          <w:jc w:val="center"/>
        </w:trPr>
        <w:tc>
          <w:tcPr>
            <w:tcW w:w="2518" w:type="dxa"/>
          </w:tcPr>
          <w:p w14:paraId="56684FDA" w14:textId="77777777" w:rsidR="00555207" w:rsidRPr="000B54EF" w:rsidRDefault="00555207" w:rsidP="000E5962">
            <w:pPr>
              <w:rPr>
                <w:rFonts w:ascii="Arial" w:hAnsi="Arial" w:cs="Arial"/>
                <w:b/>
                <w:sz w:val="24"/>
                <w:szCs w:val="24"/>
              </w:rPr>
            </w:pPr>
            <w:r w:rsidRPr="000B54EF">
              <w:rPr>
                <w:rFonts w:ascii="Arial" w:hAnsi="Arial" w:cs="Arial"/>
                <w:b/>
                <w:sz w:val="24"/>
                <w:szCs w:val="24"/>
              </w:rPr>
              <w:t>30(8)</w:t>
            </w:r>
            <w:r w:rsidR="00342631" w:rsidRPr="000B54EF">
              <w:rPr>
                <w:rFonts w:ascii="Arial" w:hAnsi="Arial" w:cs="Arial"/>
                <w:b/>
                <w:sz w:val="24"/>
                <w:szCs w:val="24"/>
              </w:rPr>
              <w:t>*</w:t>
            </w:r>
          </w:p>
        </w:tc>
        <w:tc>
          <w:tcPr>
            <w:tcW w:w="6662" w:type="dxa"/>
          </w:tcPr>
          <w:p w14:paraId="7ACC3EED" w14:textId="77777777" w:rsidR="00555207" w:rsidRPr="000B54EF" w:rsidRDefault="00555207" w:rsidP="000E5962">
            <w:pPr>
              <w:rPr>
                <w:rFonts w:ascii="Arial" w:hAnsi="Arial" w:cs="Arial"/>
                <w:sz w:val="24"/>
                <w:szCs w:val="24"/>
              </w:rPr>
            </w:pPr>
            <w:r w:rsidRPr="000B54EF">
              <w:rPr>
                <w:rFonts w:ascii="Arial" w:hAnsi="Arial" w:cs="Arial"/>
                <w:sz w:val="24"/>
                <w:szCs w:val="24"/>
              </w:rPr>
              <w:t>Whether to waive, in whole or in part, actuarial reduction on benefits which a member voluntarily draws before normal pension age.</w:t>
            </w:r>
          </w:p>
        </w:tc>
        <w:tc>
          <w:tcPr>
            <w:tcW w:w="4994" w:type="dxa"/>
          </w:tcPr>
          <w:p w14:paraId="0896F70C" w14:textId="77777777" w:rsidR="00AB72C3" w:rsidRPr="000B54EF" w:rsidRDefault="0026698B" w:rsidP="008F5E35">
            <w:pPr>
              <w:rPr>
                <w:rFonts w:ascii="Arial" w:hAnsi="Arial" w:cs="Arial"/>
                <w:sz w:val="24"/>
                <w:szCs w:val="24"/>
              </w:rPr>
            </w:pPr>
            <w:r w:rsidRPr="009D33D8">
              <w:rPr>
                <w:rFonts w:ascii="Arial" w:hAnsi="Arial" w:cs="Arial"/>
                <w:sz w:val="24"/>
                <w:szCs w:val="24"/>
              </w:rPr>
              <w:t>The Council will generally not waive the actuarial reduction.  The Council may cho</w:t>
            </w:r>
            <w:r w:rsidR="00DF238F" w:rsidRPr="009D33D8">
              <w:rPr>
                <w:rFonts w:ascii="Arial" w:hAnsi="Arial" w:cs="Arial"/>
                <w:sz w:val="24"/>
                <w:szCs w:val="24"/>
              </w:rPr>
              <w:t>o</w:t>
            </w:r>
            <w:r w:rsidRPr="009D33D8">
              <w:rPr>
                <w:rFonts w:ascii="Arial" w:hAnsi="Arial" w:cs="Arial"/>
                <w:sz w:val="24"/>
                <w:szCs w:val="24"/>
              </w:rPr>
              <w:t>se to waive the actuarial reduction in exceptional circumstances depending on each individual case</w:t>
            </w:r>
            <w:r w:rsidR="00732ADF" w:rsidRPr="009D33D8">
              <w:rPr>
                <w:rFonts w:ascii="Arial" w:hAnsi="Arial" w:cs="Arial"/>
                <w:sz w:val="24"/>
                <w:szCs w:val="24"/>
              </w:rPr>
              <w:t>, this being subject to funding being agreed by the Executive</w:t>
            </w:r>
            <w:r w:rsidR="00732ADF" w:rsidRPr="000B54EF">
              <w:rPr>
                <w:rFonts w:ascii="Arial" w:hAnsi="Arial" w:cs="Arial"/>
                <w:sz w:val="24"/>
                <w:szCs w:val="24"/>
              </w:rPr>
              <w:t>.</w:t>
            </w:r>
          </w:p>
        </w:tc>
      </w:tr>
      <w:tr w:rsidR="000B54EF" w:rsidRPr="000B54EF" w14:paraId="126EA9A3" w14:textId="77777777" w:rsidTr="00BC36AE">
        <w:trPr>
          <w:jc w:val="center"/>
        </w:trPr>
        <w:tc>
          <w:tcPr>
            <w:tcW w:w="2518" w:type="dxa"/>
          </w:tcPr>
          <w:p w14:paraId="12CEEE2D" w14:textId="77777777" w:rsidR="00555207" w:rsidRPr="000B54EF" w:rsidRDefault="00555207" w:rsidP="000E5962">
            <w:pPr>
              <w:rPr>
                <w:rFonts w:ascii="Arial" w:hAnsi="Arial" w:cs="Arial"/>
                <w:b/>
                <w:sz w:val="24"/>
                <w:szCs w:val="24"/>
              </w:rPr>
            </w:pPr>
            <w:r w:rsidRPr="000B54EF">
              <w:rPr>
                <w:rFonts w:ascii="Arial" w:hAnsi="Arial" w:cs="Arial"/>
                <w:b/>
                <w:sz w:val="24"/>
                <w:szCs w:val="24"/>
              </w:rPr>
              <w:t>Trans Regs Sch2 para2(2)</w:t>
            </w:r>
            <w:r w:rsidR="00342631" w:rsidRPr="000B54EF">
              <w:rPr>
                <w:rFonts w:ascii="Arial" w:hAnsi="Arial" w:cs="Arial"/>
                <w:b/>
                <w:sz w:val="24"/>
                <w:szCs w:val="24"/>
              </w:rPr>
              <w:t>*</w:t>
            </w:r>
          </w:p>
        </w:tc>
        <w:tc>
          <w:tcPr>
            <w:tcW w:w="6662" w:type="dxa"/>
          </w:tcPr>
          <w:p w14:paraId="2793E6C7" w14:textId="77777777" w:rsidR="008F5E35" w:rsidRPr="000B54EF" w:rsidRDefault="00156800" w:rsidP="008F5E35">
            <w:pPr>
              <w:widowControl w:val="0"/>
              <w:autoSpaceDE w:val="0"/>
              <w:autoSpaceDN w:val="0"/>
              <w:adjustRightInd w:val="0"/>
              <w:spacing w:after="260"/>
              <w:rPr>
                <w:rFonts w:ascii="Arial" w:hAnsi="Arial" w:cs="Arial"/>
                <w:sz w:val="24"/>
                <w:szCs w:val="24"/>
              </w:rPr>
            </w:pPr>
            <w:r>
              <w:rPr>
                <w:rFonts w:ascii="Arial" w:hAnsi="Arial" w:cs="Arial"/>
                <w:sz w:val="26"/>
                <w:szCs w:val="26"/>
                <w:lang w:val="en-US" w:eastAsia="ja-JP"/>
              </w:rPr>
              <w:t xml:space="preserve">The rule of 85 applies to some members who originally joined the LGPS before 2006. It allows members who meet the rule to retire earlier than the normal pension age, taking their pension benefits in full.  However, under the LGPS2014 Regulations certain members would lose some of the rule of 85 protections if they wished to draw their pension benefits between 55 and 59. Hence this discretion allows the protections to be re-instated by the employer; this will have cost </w:t>
            </w:r>
            <w:r>
              <w:rPr>
                <w:rFonts w:ascii="Arial" w:hAnsi="Arial" w:cs="Arial"/>
                <w:sz w:val="26"/>
                <w:szCs w:val="26"/>
                <w:lang w:val="en-US" w:eastAsia="ja-JP"/>
              </w:rPr>
              <w:lastRenderedPageBreak/>
              <w:t>implications</w:t>
            </w:r>
          </w:p>
          <w:p w14:paraId="70091D22" w14:textId="77777777" w:rsidR="00555207" w:rsidRPr="000B54EF" w:rsidRDefault="00555207" w:rsidP="00161CA6">
            <w:pPr>
              <w:rPr>
                <w:rFonts w:ascii="Arial" w:hAnsi="Arial" w:cs="Arial"/>
                <w:sz w:val="24"/>
                <w:szCs w:val="24"/>
              </w:rPr>
            </w:pPr>
          </w:p>
        </w:tc>
        <w:tc>
          <w:tcPr>
            <w:tcW w:w="4994" w:type="dxa"/>
          </w:tcPr>
          <w:p w14:paraId="3CA148B2" w14:textId="77777777" w:rsidR="00954045" w:rsidRPr="000B54EF" w:rsidRDefault="0026698B" w:rsidP="00CC4E27">
            <w:pPr>
              <w:rPr>
                <w:rFonts w:ascii="Arial" w:hAnsi="Arial" w:cs="Arial"/>
                <w:sz w:val="24"/>
                <w:szCs w:val="24"/>
              </w:rPr>
            </w:pPr>
            <w:r w:rsidRPr="000B54EF">
              <w:rPr>
                <w:rFonts w:ascii="Arial" w:hAnsi="Arial" w:cs="Arial"/>
                <w:sz w:val="24"/>
                <w:szCs w:val="24"/>
              </w:rPr>
              <w:lastRenderedPageBreak/>
              <w:t>The ‘</w:t>
            </w:r>
            <w:proofErr w:type="gramStart"/>
            <w:r w:rsidRPr="000B54EF">
              <w:rPr>
                <w:rFonts w:ascii="Arial" w:hAnsi="Arial" w:cs="Arial"/>
                <w:sz w:val="24"/>
                <w:szCs w:val="24"/>
              </w:rPr>
              <w:t>85 year</w:t>
            </w:r>
            <w:proofErr w:type="gramEnd"/>
            <w:r w:rsidRPr="000B54EF">
              <w:rPr>
                <w:rFonts w:ascii="Arial" w:hAnsi="Arial" w:cs="Arial"/>
                <w:sz w:val="24"/>
                <w:szCs w:val="24"/>
              </w:rPr>
              <w:t xml:space="preserve"> rule’ will only be ‘switched on’ in exceptional circumstances.  Each case </w:t>
            </w:r>
            <w:r w:rsidR="009A755C">
              <w:rPr>
                <w:rFonts w:ascii="Arial" w:hAnsi="Arial" w:cs="Arial"/>
                <w:sz w:val="24"/>
                <w:szCs w:val="24"/>
              </w:rPr>
              <w:t xml:space="preserve">will be </w:t>
            </w:r>
            <w:r w:rsidRPr="000B54EF">
              <w:rPr>
                <w:rFonts w:ascii="Arial" w:hAnsi="Arial" w:cs="Arial"/>
                <w:sz w:val="24"/>
                <w:szCs w:val="24"/>
              </w:rPr>
              <w:t>considered individually</w:t>
            </w:r>
            <w:r w:rsidR="009A755C">
              <w:rPr>
                <w:rFonts w:ascii="Arial" w:hAnsi="Arial" w:cs="Arial"/>
                <w:sz w:val="24"/>
                <w:szCs w:val="24"/>
              </w:rPr>
              <w:t xml:space="preserve"> by the Executive</w:t>
            </w:r>
            <w:r w:rsidRPr="000B54EF">
              <w:rPr>
                <w:rFonts w:ascii="Arial" w:hAnsi="Arial" w:cs="Arial"/>
                <w:sz w:val="24"/>
                <w:szCs w:val="24"/>
              </w:rPr>
              <w:t xml:space="preserve">. </w:t>
            </w:r>
          </w:p>
        </w:tc>
      </w:tr>
      <w:tr w:rsidR="000B54EF" w:rsidRPr="000B54EF" w14:paraId="30B14183" w14:textId="77777777" w:rsidTr="00BC36AE">
        <w:trPr>
          <w:jc w:val="center"/>
        </w:trPr>
        <w:tc>
          <w:tcPr>
            <w:tcW w:w="2518" w:type="dxa"/>
          </w:tcPr>
          <w:p w14:paraId="3A6E84F1" w14:textId="77777777" w:rsidR="009310F5" w:rsidRPr="000B54EF" w:rsidRDefault="009310F5" w:rsidP="000E5962">
            <w:pPr>
              <w:rPr>
                <w:rFonts w:ascii="Arial" w:hAnsi="Arial" w:cs="Arial"/>
                <w:b/>
                <w:sz w:val="24"/>
                <w:szCs w:val="24"/>
              </w:rPr>
            </w:pPr>
            <w:r w:rsidRPr="000B54EF">
              <w:rPr>
                <w:rFonts w:ascii="Arial" w:hAnsi="Arial" w:cs="Arial"/>
                <w:b/>
                <w:sz w:val="24"/>
                <w:szCs w:val="24"/>
              </w:rPr>
              <w:t>Trans Regs Sch2 para2(3)</w:t>
            </w:r>
            <w:r w:rsidR="00342631" w:rsidRPr="000B54EF">
              <w:rPr>
                <w:rFonts w:ascii="Arial" w:hAnsi="Arial" w:cs="Arial"/>
                <w:b/>
                <w:sz w:val="24"/>
                <w:szCs w:val="24"/>
              </w:rPr>
              <w:t>*</w:t>
            </w:r>
          </w:p>
        </w:tc>
        <w:tc>
          <w:tcPr>
            <w:tcW w:w="6662" w:type="dxa"/>
          </w:tcPr>
          <w:p w14:paraId="3CEEEA44" w14:textId="77777777" w:rsidR="009310F5" w:rsidRPr="000B54EF" w:rsidRDefault="009310F5" w:rsidP="000E5962">
            <w:pPr>
              <w:rPr>
                <w:rFonts w:ascii="Arial" w:hAnsi="Arial" w:cs="Arial"/>
                <w:sz w:val="24"/>
                <w:szCs w:val="24"/>
              </w:rPr>
            </w:pPr>
            <w:r w:rsidRPr="000B54EF">
              <w:rPr>
                <w:rFonts w:ascii="Arial" w:hAnsi="Arial" w:cs="Arial"/>
                <w:sz w:val="24"/>
                <w:szCs w:val="24"/>
              </w:rPr>
              <w:t>Whether to waive on compassionate grounds, the actuarial reduction applied to benefits from pre 1 April 2014 membership where the employer has “switched on” the 85 year rule for a member voluntarily drawing benefits on or after age 55 and before age 60.</w:t>
            </w:r>
          </w:p>
        </w:tc>
        <w:tc>
          <w:tcPr>
            <w:tcW w:w="4994" w:type="dxa"/>
          </w:tcPr>
          <w:p w14:paraId="349E0EF1" w14:textId="77777777" w:rsidR="00B02ABE" w:rsidRPr="000B54EF" w:rsidRDefault="00B02ABE" w:rsidP="00B02ABE">
            <w:pPr>
              <w:rPr>
                <w:rFonts w:ascii="Arial" w:hAnsi="Arial" w:cs="Arial"/>
                <w:sz w:val="24"/>
                <w:szCs w:val="24"/>
              </w:rPr>
            </w:pPr>
            <w:r w:rsidRPr="008F5E35">
              <w:rPr>
                <w:rFonts w:ascii="Arial" w:hAnsi="Arial" w:cs="Arial"/>
                <w:sz w:val="24"/>
                <w:szCs w:val="24"/>
              </w:rPr>
              <w:t>Consideration will be given to waive the actuarial reduction to the benefits where the member had to give up work</w:t>
            </w:r>
            <w:r w:rsidR="009D33D8">
              <w:rPr>
                <w:rFonts w:ascii="Arial" w:hAnsi="Arial" w:cs="Arial"/>
                <w:sz w:val="24"/>
                <w:szCs w:val="24"/>
              </w:rPr>
              <w:t xml:space="preserve"> for exceptional circumstances to be agreed by the </w:t>
            </w:r>
            <w:r w:rsidR="00570A4F">
              <w:rPr>
                <w:rFonts w:ascii="Arial" w:hAnsi="Arial" w:cs="Arial"/>
                <w:sz w:val="24"/>
                <w:szCs w:val="24"/>
              </w:rPr>
              <w:t>E</w:t>
            </w:r>
            <w:r w:rsidR="009D33D8">
              <w:rPr>
                <w:rFonts w:ascii="Arial" w:hAnsi="Arial" w:cs="Arial"/>
                <w:sz w:val="24"/>
                <w:szCs w:val="24"/>
              </w:rPr>
              <w:t>mployment Committee</w:t>
            </w:r>
            <w:r w:rsidR="00570A4F">
              <w:rPr>
                <w:rFonts w:ascii="Arial" w:hAnsi="Arial" w:cs="Arial"/>
                <w:sz w:val="24"/>
                <w:szCs w:val="24"/>
              </w:rPr>
              <w:t xml:space="preserve"> and to Executive if there is a cost to the Council.</w:t>
            </w:r>
          </w:p>
          <w:p w14:paraId="2EAFFE08" w14:textId="77777777" w:rsidR="009310F5" w:rsidRPr="000B54EF" w:rsidRDefault="009310F5" w:rsidP="004A21A3">
            <w:pPr>
              <w:rPr>
                <w:rFonts w:ascii="Arial" w:hAnsi="Arial" w:cs="Arial"/>
                <w:sz w:val="24"/>
                <w:szCs w:val="24"/>
              </w:rPr>
            </w:pPr>
          </w:p>
        </w:tc>
      </w:tr>
      <w:tr w:rsidR="000B54EF" w:rsidRPr="000B54EF" w14:paraId="5B3BB759" w14:textId="77777777" w:rsidTr="00BC36AE">
        <w:trPr>
          <w:jc w:val="center"/>
        </w:trPr>
        <w:tc>
          <w:tcPr>
            <w:tcW w:w="2518" w:type="dxa"/>
          </w:tcPr>
          <w:p w14:paraId="1B2B18CE" w14:textId="77777777" w:rsidR="009310F5" w:rsidRPr="000B54EF" w:rsidRDefault="009310F5" w:rsidP="000E5962">
            <w:pPr>
              <w:rPr>
                <w:rFonts w:ascii="Arial" w:hAnsi="Arial" w:cs="Arial"/>
                <w:b/>
                <w:sz w:val="24"/>
                <w:szCs w:val="24"/>
              </w:rPr>
            </w:pPr>
            <w:r w:rsidRPr="000B54EF">
              <w:rPr>
                <w:rFonts w:ascii="Arial" w:hAnsi="Arial" w:cs="Arial"/>
                <w:b/>
                <w:sz w:val="24"/>
                <w:szCs w:val="24"/>
              </w:rPr>
              <w:t>31</w:t>
            </w:r>
            <w:r w:rsidR="00342631" w:rsidRPr="000B54EF">
              <w:rPr>
                <w:rFonts w:ascii="Arial" w:hAnsi="Arial" w:cs="Arial"/>
                <w:b/>
                <w:sz w:val="24"/>
                <w:szCs w:val="24"/>
              </w:rPr>
              <w:t>*</w:t>
            </w:r>
            <w:r w:rsidRPr="000B54EF">
              <w:rPr>
                <w:rFonts w:ascii="Arial" w:hAnsi="Arial" w:cs="Arial"/>
                <w:b/>
                <w:sz w:val="24"/>
                <w:szCs w:val="24"/>
              </w:rPr>
              <w:t>.</w:t>
            </w:r>
          </w:p>
        </w:tc>
        <w:tc>
          <w:tcPr>
            <w:tcW w:w="6662" w:type="dxa"/>
          </w:tcPr>
          <w:p w14:paraId="5F6364FC" w14:textId="77777777" w:rsidR="009310F5" w:rsidRPr="000B54EF" w:rsidRDefault="009310F5" w:rsidP="000E5962">
            <w:pPr>
              <w:rPr>
                <w:rFonts w:ascii="Arial" w:hAnsi="Arial" w:cs="Arial"/>
                <w:sz w:val="24"/>
                <w:szCs w:val="24"/>
              </w:rPr>
            </w:pPr>
            <w:r w:rsidRPr="000B54EF">
              <w:rPr>
                <w:rFonts w:ascii="Arial" w:hAnsi="Arial" w:cs="Arial"/>
                <w:sz w:val="24"/>
                <w:szCs w:val="24"/>
              </w:rPr>
              <w:t>Whether to grant additional pension to an active member or within 6 months of ceasing to be an active member by reason of redundancy or business efficiency (by up to £6,500 per annum)</w:t>
            </w:r>
          </w:p>
        </w:tc>
        <w:tc>
          <w:tcPr>
            <w:tcW w:w="4994" w:type="dxa"/>
          </w:tcPr>
          <w:p w14:paraId="644236C3" w14:textId="77777777" w:rsidR="004F61CA" w:rsidRPr="000B54EF" w:rsidRDefault="0026698B" w:rsidP="00CC4E27">
            <w:pPr>
              <w:rPr>
                <w:rFonts w:ascii="Arial" w:hAnsi="Arial" w:cs="Arial"/>
                <w:sz w:val="24"/>
                <w:szCs w:val="24"/>
              </w:rPr>
            </w:pPr>
            <w:r w:rsidRPr="000B54EF">
              <w:rPr>
                <w:rFonts w:ascii="Arial" w:hAnsi="Arial" w:cs="Arial"/>
                <w:sz w:val="24"/>
                <w:szCs w:val="24"/>
              </w:rPr>
              <w:t>T</w:t>
            </w:r>
            <w:r w:rsidR="007C31F6" w:rsidRPr="000B54EF">
              <w:rPr>
                <w:rFonts w:ascii="Arial" w:hAnsi="Arial" w:cs="Arial"/>
                <w:sz w:val="24"/>
                <w:szCs w:val="24"/>
              </w:rPr>
              <w:t>he award of additional pension should only be applied in exceptional circumstances where this is necessary to address a situation where there would otherwise be a significant risk of harm to the Council’s services or objectives.</w:t>
            </w:r>
          </w:p>
        </w:tc>
      </w:tr>
      <w:tr w:rsidR="0074676F" w:rsidRPr="000B54EF" w14:paraId="0C11D720" w14:textId="77777777" w:rsidTr="00BC36AE">
        <w:trPr>
          <w:jc w:val="center"/>
        </w:trPr>
        <w:tc>
          <w:tcPr>
            <w:tcW w:w="2518" w:type="dxa"/>
          </w:tcPr>
          <w:p w14:paraId="1CF5C061" w14:textId="77777777" w:rsidR="0074676F" w:rsidRPr="000B54EF" w:rsidRDefault="0074676F" w:rsidP="000E5962">
            <w:pPr>
              <w:rPr>
                <w:rFonts w:ascii="Arial" w:hAnsi="Arial" w:cs="Arial"/>
                <w:b/>
                <w:sz w:val="24"/>
                <w:szCs w:val="24"/>
              </w:rPr>
            </w:pPr>
            <w:r w:rsidRPr="000B54EF">
              <w:rPr>
                <w:rFonts w:ascii="Arial" w:hAnsi="Arial" w:cs="Arial"/>
                <w:b/>
                <w:sz w:val="24"/>
                <w:szCs w:val="24"/>
              </w:rPr>
              <w:t>100(6).</w:t>
            </w:r>
          </w:p>
        </w:tc>
        <w:tc>
          <w:tcPr>
            <w:tcW w:w="6662" w:type="dxa"/>
          </w:tcPr>
          <w:p w14:paraId="1AE2040F" w14:textId="77777777" w:rsidR="0074676F" w:rsidRPr="000B54EF" w:rsidRDefault="0074676F" w:rsidP="000E5962">
            <w:pPr>
              <w:rPr>
                <w:rFonts w:ascii="Arial" w:hAnsi="Arial" w:cs="Arial"/>
                <w:sz w:val="24"/>
                <w:szCs w:val="24"/>
              </w:rPr>
            </w:pPr>
            <w:r w:rsidRPr="000B54EF">
              <w:rPr>
                <w:rFonts w:ascii="Arial" w:hAnsi="Arial" w:cs="Arial"/>
                <w:sz w:val="24"/>
                <w:szCs w:val="24"/>
              </w:rPr>
              <w:t>Extend normal time limit for acceptance of a transfer value beyond twelve months from joining the LGPS.</w:t>
            </w:r>
          </w:p>
        </w:tc>
        <w:tc>
          <w:tcPr>
            <w:tcW w:w="4994" w:type="dxa"/>
          </w:tcPr>
          <w:p w14:paraId="6BC27D7A" w14:textId="77777777" w:rsidR="009C1582" w:rsidRDefault="009C1582" w:rsidP="00CC4E27">
            <w:pPr>
              <w:rPr>
                <w:rFonts w:ascii="Arial" w:hAnsi="Arial" w:cs="Arial"/>
                <w:sz w:val="24"/>
                <w:szCs w:val="24"/>
              </w:rPr>
            </w:pPr>
          </w:p>
          <w:p w14:paraId="1F549CD8" w14:textId="77777777" w:rsidR="006B734B" w:rsidRPr="000B54EF" w:rsidRDefault="006B734B" w:rsidP="00CC4E27">
            <w:pPr>
              <w:rPr>
                <w:rFonts w:ascii="Arial" w:hAnsi="Arial" w:cs="Arial"/>
                <w:sz w:val="24"/>
                <w:szCs w:val="24"/>
              </w:rPr>
            </w:pPr>
            <w:r w:rsidRPr="000B54EF">
              <w:rPr>
                <w:rFonts w:ascii="Arial" w:hAnsi="Arial" w:cs="Arial"/>
                <w:sz w:val="24"/>
                <w:szCs w:val="24"/>
              </w:rPr>
              <w:t>To allow in exceptional circumstances where it is clear there has been an administrative delay by the employer or the scheme administrator</w:t>
            </w:r>
          </w:p>
        </w:tc>
      </w:tr>
    </w:tbl>
    <w:p w14:paraId="23769322" w14:textId="77777777" w:rsidR="00342631" w:rsidRPr="000B54EF" w:rsidRDefault="00342631" w:rsidP="00342631"/>
    <w:p w14:paraId="16F75526" w14:textId="169F2E5F" w:rsidR="00342631" w:rsidRDefault="00342631" w:rsidP="00342631">
      <w:pPr>
        <w:rPr>
          <w:rFonts w:ascii="Arial" w:hAnsi="Arial" w:cs="Arial"/>
          <w:b/>
          <w:sz w:val="24"/>
          <w:szCs w:val="24"/>
        </w:rPr>
      </w:pPr>
      <w:r w:rsidRPr="000B54EF">
        <w:rPr>
          <w:rFonts w:ascii="Arial" w:hAnsi="Arial" w:cs="Arial"/>
          <w:b/>
          <w:sz w:val="24"/>
          <w:szCs w:val="24"/>
        </w:rPr>
        <w:t>*These are matters about which the regulations require there must be a written policy.</w:t>
      </w:r>
    </w:p>
    <w:p w14:paraId="73C2B994" w14:textId="41C566B9" w:rsidR="002E61B8" w:rsidRDefault="002E61B8" w:rsidP="00342631">
      <w:pPr>
        <w:rPr>
          <w:rFonts w:ascii="Arial" w:hAnsi="Arial" w:cs="Arial"/>
          <w:b/>
          <w:sz w:val="24"/>
          <w:szCs w:val="24"/>
        </w:rPr>
      </w:pPr>
      <w:r>
        <w:rPr>
          <w:rFonts w:ascii="Arial" w:hAnsi="Arial" w:cs="Arial"/>
          <w:b/>
          <w:sz w:val="24"/>
          <w:szCs w:val="24"/>
        </w:rPr>
        <w:t>** Updated April 2021</w:t>
      </w:r>
    </w:p>
    <w:p w14:paraId="336A236C" w14:textId="77777777" w:rsidR="002E61B8" w:rsidRPr="000B54EF" w:rsidRDefault="002E61B8" w:rsidP="00342631">
      <w:pPr>
        <w:rPr>
          <w:rFonts w:ascii="Arial" w:hAnsi="Arial" w:cs="Arial"/>
          <w:b/>
          <w:sz w:val="24"/>
          <w:szCs w:val="24"/>
        </w:rPr>
      </w:pPr>
    </w:p>
    <w:sectPr w:rsidR="002E61B8" w:rsidRPr="000B54EF" w:rsidSect="002E61B8">
      <w:headerReference w:type="default" r:id="rId7"/>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BA34D" w14:textId="77777777" w:rsidR="00BF146D" w:rsidRDefault="00BF146D" w:rsidP="000E5962">
      <w:pPr>
        <w:spacing w:after="0" w:line="240" w:lineRule="auto"/>
      </w:pPr>
      <w:r>
        <w:separator/>
      </w:r>
    </w:p>
  </w:endnote>
  <w:endnote w:type="continuationSeparator" w:id="0">
    <w:p w14:paraId="096F38CF" w14:textId="77777777" w:rsidR="00BF146D" w:rsidRDefault="00BF146D" w:rsidP="000E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2394" w14:textId="77777777" w:rsidR="00BF146D" w:rsidRDefault="00BF146D" w:rsidP="000E5962">
      <w:pPr>
        <w:spacing w:after="0" w:line="240" w:lineRule="auto"/>
      </w:pPr>
      <w:r>
        <w:separator/>
      </w:r>
    </w:p>
  </w:footnote>
  <w:footnote w:type="continuationSeparator" w:id="0">
    <w:p w14:paraId="5457D7EE" w14:textId="77777777" w:rsidR="00BF146D" w:rsidRDefault="00BF146D" w:rsidP="000E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92A8" w14:textId="77777777" w:rsidR="000E5962" w:rsidRDefault="000E5962" w:rsidP="000E5962">
    <w:pPr>
      <w:pStyle w:val="Header"/>
      <w:jc w:val="center"/>
      <w:rPr>
        <w:rFonts w:ascii="Arial" w:hAnsi="Arial" w:cs="Arial"/>
        <w:sz w:val="28"/>
        <w:szCs w:val="28"/>
      </w:rPr>
    </w:pPr>
    <w:r>
      <w:rPr>
        <w:rFonts w:ascii="Arial" w:hAnsi="Arial" w:cs="Arial"/>
        <w:sz w:val="28"/>
        <w:szCs w:val="28"/>
      </w:rPr>
      <w:t>PUBLIC SERVICE PENSIONS, ENGLAND AND WALES</w:t>
    </w:r>
  </w:p>
  <w:p w14:paraId="0EB22135" w14:textId="77777777" w:rsidR="000E5962" w:rsidRDefault="000E5962" w:rsidP="000E5962">
    <w:pPr>
      <w:pStyle w:val="Header"/>
      <w:jc w:val="center"/>
      <w:rPr>
        <w:rFonts w:ascii="Arial" w:hAnsi="Arial" w:cs="Arial"/>
        <w:sz w:val="28"/>
        <w:szCs w:val="28"/>
      </w:rPr>
    </w:pPr>
  </w:p>
  <w:p w14:paraId="62B0B07D" w14:textId="77777777" w:rsidR="000E5962" w:rsidRPr="000E5962" w:rsidRDefault="000E5962" w:rsidP="000E5962">
    <w:pPr>
      <w:pStyle w:val="Header"/>
      <w:jc w:val="center"/>
      <w:rPr>
        <w:rFonts w:ascii="Arial" w:hAnsi="Arial" w:cs="Arial"/>
        <w:sz w:val="28"/>
        <w:szCs w:val="28"/>
      </w:rPr>
    </w:pPr>
    <w:r>
      <w:rPr>
        <w:rFonts w:ascii="Arial" w:hAnsi="Arial" w:cs="Arial"/>
        <w:sz w:val="28"/>
        <w:szCs w:val="28"/>
      </w:rPr>
      <w:t>Local Government Pension Scheme Regulations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CE5"/>
    <w:multiLevelType w:val="hybridMultilevel"/>
    <w:tmpl w:val="AAE2313A"/>
    <w:lvl w:ilvl="0" w:tplc="7E3071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E71FD"/>
    <w:multiLevelType w:val="hybridMultilevel"/>
    <w:tmpl w:val="4E80F2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310246B9"/>
    <w:multiLevelType w:val="hybridMultilevel"/>
    <w:tmpl w:val="B9D25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8D12CC"/>
    <w:multiLevelType w:val="hybridMultilevel"/>
    <w:tmpl w:val="244AAC00"/>
    <w:lvl w:ilvl="0" w:tplc="016AAC30">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62"/>
    <w:rsid w:val="00031764"/>
    <w:rsid w:val="00032D49"/>
    <w:rsid w:val="000B2E57"/>
    <w:rsid w:val="000B54EF"/>
    <w:rsid w:val="000D4D66"/>
    <w:rsid w:val="000E165E"/>
    <w:rsid w:val="000E5962"/>
    <w:rsid w:val="00102EC0"/>
    <w:rsid w:val="00156800"/>
    <w:rsid w:val="00161CA6"/>
    <w:rsid w:val="00182DD6"/>
    <w:rsid w:val="001833FD"/>
    <w:rsid w:val="00203395"/>
    <w:rsid w:val="002216E7"/>
    <w:rsid w:val="0026698B"/>
    <w:rsid w:val="002E5D2F"/>
    <w:rsid w:val="002E61B8"/>
    <w:rsid w:val="002F4D59"/>
    <w:rsid w:val="00342631"/>
    <w:rsid w:val="00350955"/>
    <w:rsid w:val="00383A69"/>
    <w:rsid w:val="003B5163"/>
    <w:rsid w:val="003E48EB"/>
    <w:rsid w:val="003F3FDD"/>
    <w:rsid w:val="004A21A3"/>
    <w:rsid w:val="004B6A7D"/>
    <w:rsid w:val="004C67D2"/>
    <w:rsid w:val="004F61CA"/>
    <w:rsid w:val="0050423E"/>
    <w:rsid w:val="0052659D"/>
    <w:rsid w:val="00542317"/>
    <w:rsid w:val="00555207"/>
    <w:rsid w:val="00570A4F"/>
    <w:rsid w:val="005D3AF6"/>
    <w:rsid w:val="006044AD"/>
    <w:rsid w:val="00634BB4"/>
    <w:rsid w:val="0067435A"/>
    <w:rsid w:val="006B734B"/>
    <w:rsid w:val="00723EE3"/>
    <w:rsid w:val="00732ADF"/>
    <w:rsid w:val="0074676F"/>
    <w:rsid w:val="00767D7B"/>
    <w:rsid w:val="007C31F6"/>
    <w:rsid w:val="007E6D19"/>
    <w:rsid w:val="008D3BCC"/>
    <w:rsid w:val="008E658A"/>
    <w:rsid w:val="008F5E35"/>
    <w:rsid w:val="009009B1"/>
    <w:rsid w:val="009310F5"/>
    <w:rsid w:val="00954045"/>
    <w:rsid w:val="009556A6"/>
    <w:rsid w:val="009A755C"/>
    <w:rsid w:val="009C1006"/>
    <w:rsid w:val="009C1582"/>
    <w:rsid w:val="009D33D8"/>
    <w:rsid w:val="00AB72C3"/>
    <w:rsid w:val="00B02ABE"/>
    <w:rsid w:val="00B056BD"/>
    <w:rsid w:val="00B90EDC"/>
    <w:rsid w:val="00BF146D"/>
    <w:rsid w:val="00BF68C5"/>
    <w:rsid w:val="00CC4E27"/>
    <w:rsid w:val="00D70D0E"/>
    <w:rsid w:val="00DF238F"/>
    <w:rsid w:val="00E50F57"/>
    <w:rsid w:val="00E57CCA"/>
    <w:rsid w:val="00E628E5"/>
    <w:rsid w:val="00E82752"/>
    <w:rsid w:val="00EC2397"/>
    <w:rsid w:val="00F1741B"/>
    <w:rsid w:val="00F56FCE"/>
    <w:rsid w:val="00F75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40510E"/>
  <w15:docId w15:val="{72C93D96-14C2-4DE7-A5C7-7F8D422A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962"/>
  </w:style>
  <w:style w:type="paragraph" w:styleId="Footer">
    <w:name w:val="footer"/>
    <w:basedOn w:val="Normal"/>
    <w:link w:val="FooterChar"/>
    <w:uiPriority w:val="99"/>
    <w:unhideWhenUsed/>
    <w:rsid w:val="000E5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962"/>
  </w:style>
  <w:style w:type="paragraph" w:styleId="BalloonText">
    <w:name w:val="Balloon Text"/>
    <w:basedOn w:val="Normal"/>
    <w:link w:val="BalloonTextChar"/>
    <w:uiPriority w:val="99"/>
    <w:semiHidden/>
    <w:unhideWhenUsed/>
    <w:rsid w:val="000E5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962"/>
    <w:rPr>
      <w:rFonts w:ascii="Tahoma" w:hAnsi="Tahoma" w:cs="Tahoma"/>
      <w:sz w:val="16"/>
      <w:szCs w:val="16"/>
    </w:rPr>
  </w:style>
  <w:style w:type="table" w:styleId="TableGrid">
    <w:name w:val="Table Grid"/>
    <w:basedOn w:val="TableNormal"/>
    <w:uiPriority w:val="59"/>
    <w:rsid w:val="000E5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764"/>
    <w:pPr>
      <w:ind w:left="720"/>
      <w:contextualSpacing/>
    </w:pPr>
  </w:style>
  <w:style w:type="character" w:styleId="CommentReference">
    <w:name w:val="annotation reference"/>
    <w:basedOn w:val="DefaultParagraphFont"/>
    <w:uiPriority w:val="99"/>
    <w:semiHidden/>
    <w:unhideWhenUsed/>
    <w:rsid w:val="00723EE3"/>
    <w:rPr>
      <w:sz w:val="16"/>
      <w:szCs w:val="16"/>
    </w:rPr>
  </w:style>
  <w:style w:type="paragraph" w:styleId="CommentText">
    <w:name w:val="annotation text"/>
    <w:basedOn w:val="Normal"/>
    <w:link w:val="CommentTextChar"/>
    <w:uiPriority w:val="99"/>
    <w:semiHidden/>
    <w:unhideWhenUsed/>
    <w:rsid w:val="00723EE3"/>
    <w:pPr>
      <w:spacing w:line="240" w:lineRule="auto"/>
    </w:pPr>
    <w:rPr>
      <w:sz w:val="20"/>
      <w:szCs w:val="20"/>
    </w:rPr>
  </w:style>
  <w:style w:type="character" w:customStyle="1" w:styleId="CommentTextChar">
    <w:name w:val="Comment Text Char"/>
    <w:basedOn w:val="DefaultParagraphFont"/>
    <w:link w:val="CommentText"/>
    <w:uiPriority w:val="99"/>
    <w:semiHidden/>
    <w:rsid w:val="00723EE3"/>
    <w:rPr>
      <w:sz w:val="20"/>
      <w:szCs w:val="20"/>
    </w:rPr>
  </w:style>
  <w:style w:type="paragraph" w:styleId="CommentSubject">
    <w:name w:val="annotation subject"/>
    <w:basedOn w:val="CommentText"/>
    <w:next w:val="CommentText"/>
    <w:link w:val="CommentSubjectChar"/>
    <w:uiPriority w:val="99"/>
    <w:semiHidden/>
    <w:unhideWhenUsed/>
    <w:rsid w:val="00723EE3"/>
    <w:rPr>
      <w:b/>
      <w:bCs/>
    </w:rPr>
  </w:style>
  <w:style w:type="character" w:customStyle="1" w:styleId="CommentSubjectChar">
    <w:name w:val="Comment Subject Char"/>
    <w:basedOn w:val="CommentTextChar"/>
    <w:link w:val="CommentSubject"/>
    <w:uiPriority w:val="99"/>
    <w:semiHidden/>
    <w:rsid w:val="00723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BUXTON</dc:creator>
  <cp:lastModifiedBy>Elaine Priestley</cp:lastModifiedBy>
  <cp:revision>2</cp:revision>
  <cp:lastPrinted>2014-05-07T08:01:00Z</cp:lastPrinted>
  <dcterms:created xsi:type="dcterms:W3CDTF">2021-05-12T12:30:00Z</dcterms:created>
  <dcterms:modified xsi:type="dcterms:W3CDTF">2021-05-12T12:30:00Z</dcterms:modified>
</cp:coreProperties>
</file>