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lang w:val="en-GB" w:eastAsia="en-US"/>
        </w:rPr>
        <w:id w:val="176247175"/>
        <w:docPartObj>
          <w:docPartGallery w:val="Cover Pages"/>
          <w:docPartUnique/>
        </w:docPartObj>
      </w:sdtPr>
      <w:sdtEndPr>
        <w:rPr>
          <w:rFonts w:asciiTheme="minorHAnsi" w:eastAsiaTheme="minorHAnsi" w:hAnsiTheme="minorHAnsi" w:cstheme="minorBidi"/>
          <w:sz w:val="48"/>
          <w:szCs w:val="4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02"/>
          </w:tblGrid>
          <w:tr w:rsidR="00CD0183">
            <w:sdt>
              <w:sdtPr>
                <w:rPr>
                  <w:rFonts w:asciiTheme="majorHAnsi" w:eastAsiaTheme="majorEastAsia" w:hAnsiTheme="majorHAnsi" w:cstheme="majorBidi"/>
                  <w:lang w:val="en-GB" w:eastAsia="en-US"/>
                </w:rPr>
                <w:alias w:val="Company"/>
                <w:id w:val="13406915"/>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rsidR="00CD0183" w:rsidRDefault="00CD0183">
                    <w:pPr>
                      <w:pStyle w:val="NoSpacing"/>
                      <w:rPr>
                        <w:rFonts w:asciiTheme="majorHAnsi" w:eastAsiaTheme="majorEastAsia" w:hAnsiTheme="majorHAnsi" w:cstheme="majorBidi"/>
                      </w:rPr>
                    </w:pPr>
                    <w:r>
                      <w:rPr>
                        <w:rFonts w:asciiTheme="majorHAnsi" w:eastAsiaTheme="majorEastAsia" w:hAnsiTheme="majorHAnsi" w:cstheme="majorBidi"/>
                        <w:lang w:val="en-GB"/>
                      </w:rPr>
                      <w:t>Warwick District Council</w:t>
                    </w:r>
                  </w:p>
                </w:tc>
              </w:sdtContent>
            </w:sdt>
          </w:tr>
          <w:tr w:rsidR="00CD0183">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CD0183" w:rsidRDefault="005B2CCC" w:rsidP="005B2CCC">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Community Infrastructure Levy Regulation 62</w:t>
                    </w:r>
                    <w:r w:rsidR="0034176D">
                      <w:rPr>
                        <w:rFonts w:asciiTheme="majorHAnsi" w:eastAsiaTheme="majorEastAsia" w:hAnsiTheme="majorHAnsi" w:cstheme="majorBidi"/>
                        <w:color w:val="4F81BD" w:themeColor="accent1"/>
                        <w:sz w:val="80"/>
                        <w:szCs w:val="80"/>
                      </w:rPr>
                      <w:t xml:space="preserve"> Monitoring </w:t>
                    </w:r>
                    <w:r w:rsidR="00CD0183">
                      <w:rPr>
                        <w:rFonts w:asciiTheme="majorHAnsi" w:eastAsiaTheme="majorEastAsia" w:hAnsiTheme="majorHAnsi" w:cstheme="majorBidi"/>
                        <w:color w:val="4F81BD" w:themeColor="accent1"/>
                        <w:sz w:val="80"/>
                        <w:szCs w:val="80"/>
                      </w:rPr>
                      <w:t>Report</w:t>
                    </w:r>
                  </w:p>
                </w:sdtContent>
              </w:sdt>
            </w:tc>
          </w:tr>
          <w:tr w:rsidR="00CD0183">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CD0183" w:rsidRDefault="000407A5" w:rsidP="005B2CCC">
                    <w:pPr>
                      <w:pStyle w:val="NoSpacing"/>
                      <w:rPr>
                        <w:rFonts w:asciiTheme="majorHAnsi" w:eastAsiaTheme="majorEastAsia" w:hAnsiTheme="majorHAnsi" w:cstheme="majorBidi"/>
                      </w:rPr>
                    </w:pPr>
                    <w:r>
                      <w:rPr>
                        <w:rFonts w:asciiTheme="majorHAnsi" w:eastAsiaTheme="majorEastAsia" w:hAnsiTheme="majorHAnsi" w:cstheme="majorBidi"/>
                      </w:rPr>
                      <w:t>April 2018 / March 2019</w:t>
                    </w:r>
                  </w:p>
                </w:tc>
              </w:sdtContent>
            </w:sdt>
          </w:tr>
        </w:tbl>
        <w:p w:rsidR="00CD0183" w:rsidRDefault="000A273D" w:rsidP="009F21F8">
          <w:pPr>
            <w:jc w:val="right"/>
          </w:pPr>
          <w:r>
            <w:rPr>
              <w:noProof/>
              <w:lang w:eastAsia="en-GB"/>
            </w:rPr>
            <w:drawing>
              <wp:inline distT="0" distB="0" distL="0" distR="0" wp14:anchorId="2118D8F6" wp14:editId="51481D86">
                <wp:extent cx="1738007" cy="10212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6888" cy="1026497"/>
                        </a:xfrm>
                        <a:prstGeom prst="rect">
                          <a:avLst/>
                        </a:prstGeom>
                      </pic:spPr>
                    </pic:pic>
                  </a:graphicData>
                </a:graphic>
              </wp:inline>
            </w:drawing>
          </w:r>
        </w:p>
        <w:p w:rsidR="00CD0183" w:rsidRDefault="00CD0183"/>
        <w:tbl>
          <w:tblPr>
            <w:tblpPr w:leftFromText="187" w:rightFromText="187" w:horzAnchor="margin" w:tblpXSpec="center" w:tblpYSpec="bottom"/>
            <w:tblW w:w="4000" w:type="pct"/>
            <w:tblLook w:val="04A0" w:firstRow="1" w:lastRow="0" w:firstColumn="1" w:lastColumn="0" w:noHBand="0" w:noVBand="1"/>
          </w:tblPr>
          <w:tblGrid>
            <w:gridCol w:w="7221"/>
          </w:tblGrid>
          <w:tr w:rsidR="00CD0183">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CD0183" w:rsidRDefault="00CD0183">
                    <w:pPr>
                      <w:pStyle w:val="NoSpacing"/>
                      <w:rPr>
                        <w:color w:val="4F81BD" w:themeColor="accent1"/>
                      </w:rPr>
                    </w:pPr>
                    <w:r>
                      <w:rPr>
                        <w:color w:val="4F81BD" w:themeColor="accent1"/>
                        <w:lang w:val="en-GB"/>
                      </w:rPr>
                      <w:t>Development Services</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9-12-18T00:00:00Z">
                    <w:dateFormat w:val="M/d/yyyy"/>
                    <w:lid w:val="en-US"/>
                    <w:storeMappedDataAs w:val="dateTime"/>
                    <w:calendar w:val="gregorian"/>
                  </w:date>
                </w:sdtPr>
                <w:sdtEndPr/>
                <w:sdtContent>
                  <w:p w:rsidR="00CD0183" w:rsidRDefault="000407A5">
                    <w:pPr>
                      <w:pStyle w:val="NoSpacing"/>
                      <w:rPr>
                        <w:color w:val="4F81BD" w:themeColor="accent1"/>
                      </w:rPr>
                    </w:pPr>
                    <w:r>
                      <w:rPr>
                        <w:color w:val="4F81BD" w:themeColor="accent1"/>
                      </w:rPr>
                      <w:t>12/18/2019</w:t>
                    </w:r>
                  </w:p>
                </w:sdtContent>
              </w:sdt>
              <w:p w:rsidR="00CD0183" w:rsidRDefault="00CD0183">
                <w:pPr>
                  <w:pStyle w:val="NoSpacing"/>
                  <w:rPr>
                    <w:color w:val="4F81BD" w:themeColor="accent1"/>
                  </w:rPr>
                </w:pPr>
              </w:p>
            </w:tc>
          </w:tr>
        </w:tbl>
        <w:p w:rsidR="00CD0183" w:rsidRDefault="00CD0183"/>
        <w:p w:rsidR="00CD0183" w:rsidRDefault="00CD0183">
          <w:pPr>
            <w:rPr>
              <w:rFonts w:asciiTheme="majorHAnsi" w:eastAsiaTheme="majorEastAsia" w:hAnsiTheme="majorHAnsi" w:cstheme="majorBidi"/>
              <w:color w:val="17365D" w:themeColor="text2" w:themeShade="BF"/>
              <w:spacing w:val="5"/>
              <w:kern w:val="28"/>
              <w:sz w:val="48"/>
              <w:szCs w:val="48"/>
            </w:rPr>
          </w:pPr>
          <w:r>
            <w:rPr>
              <w:sz w:val="48"/>
              <w:szCs w:val="48"/>
            </w:rPr>
            <w:br w:type="page"/>
          </w:r>
        </w:p>
      </w:sdtContent>
    </w:sdt>
    <w:p w:rsidR="002160F9" w:rsidRDefault="00000F9E" w:rsidP="005B2CCC">
      <w:pPr>
        <w:pStyle w:val="Heading1"/>
      </w:pPr>
      <w:r>
        <w:lastRenderedPageBreak/>
        <w:t>Community Infrastructure Levy</w:t>
      </w:r>
    </w:p>
    <w:p w:rsidR="005B2CCC" w:rsidRPr="005B2CCC" w:rsidRDefault="005B2CCC" w:rsidP="005B2CCC">
      <w:pPr>
        <w:spacing w:after="0"/>
      </w:pPr>
    </w:p>
    <w:p w:rsidR="00202A20" w:rsidRPr="00202A20" w:rsidRDefault="00202A20" w:rsidP="005B2CCC">
      <w:pPr>
        <w:spacing w:after="0"/>
      </w:pPr>
      <w:r w:rsidRPr="00202A20">
        <w:t xml:space="preserve">In April 2010 new regulations were introduced that allows local authorities to set up a Community Infrastructure Levy (CIL). CIL is a tariff charged on development, at a locally set rate, to fund infrastructure needs arising from new development. This can include transport schemes; flood defences; schools; health &amp; social care facilities; parks &amp; green spaces; cultural &amp; sports facilities. </w:t>
      </w:r>
    </w:p>
    <w:p w:rsidR="002160F9" w:rsidRDefault="00202A20" w:rsidP="005B2CCC">
      <w:pPr>
        <w:spacing w:after="0"/>
      </w:pPr>
      <w:r w:rsidRPr="00202A20">
        <w:t>Warwick District Council (WDC) introduced their charging schedule on 18</w:t>
      </w:r>
      <w:r w:rsidRPr="00202A20">
        <w:rPr>
          <w:vertAlign w:val="superscript"/>
        </w:rPr>
        <w:t>th</w:t>
      </w:r>
      <w:r w:rsidRPr="00202A20">
        <w:t xml:space="preserve"> December 2017; in order to ensure the levy is open and transparent, charging authorities must publish a report on the levy on their website by 31st December each year, for the previous financial year. </w:t>
      </w:r>
    </w:p>
    <w:p w:rsidR="002160F9" w:rsidRPr="00202A20" w:rsidRDefault="002160F9" w:rsidP="005B2CCC">
      <w:pPr>
        <w:spacing w:after="0"/>
      </w:pPr>
    </w:p>
    <w:p w:rsidR="00202A20" w:rsidRPr="002B708B" w:rsidRDefault="00202A20" w:rsidP="005B2CCC">
      <w:pPr>
        <w:spacing w:after="0"/>
        <w:rPr>
          <w:b/>
          <w:u w:val="single"/>
        </w:rPr>
      </w:pPr>
      <w:r w:rsidRPr="002B708B">
        <w:rPr>
          <w:b/>
          <w:u w:val="single"/>
        </w:rPr>
        <w:t xml:space="preserve">CIL Receipts </w:t>
      </w:r>
    </w:p>
    <w:p w:rsidR="005B2CCC" w:rsidRPr="002160F9" w:rsidRDefault="005B2CCC" w:rsidP="005B2CCC">
      <w:pPr>
        <w:spacing w:after="0"/>
        <w:rPr>
          <w:u w:val="single"/>
        </w:rPr>
      </w:pPr>
    </w:p>
    <w:p w:rsidR="002B708B" w:rsidRDefault="00202A20" w:rsidP="005B2CCC">
      <w:pPr>
        <w:spacing w:after="0"/>
      </w:pPr>
      <w:r w:rsidRPr="00202A20">
        <w:t xml:space="preserve">The purpose of CIL is to collect money to spend on infrastructure that the community needs; </w:t>
      </w:r>
      <w:r w:rsidR="00036308">
        <w:t>t</w:t>
      </w:r>
      <w:r w:rsidR="002B708B" w:rsidRPr="002B708B">
        <w:t xml:space="preserve">his can include transport schemes; </w:t>
      </w:r>
      <w:r w:rsidR="002B708B">
        <w:t>education</w:t>
      </w:r>
      <w:r w:rsidR="002B708B" w:rsidRPr="002B708B">
        <w:t>; health &amp; social care facilities; parks &amp; green spaces; cultural &amp; sports facilities.</w:t>
      </w:r>
    </w:p>
    <w:p w:rsidR="002B708B" w:rsidRDefault="002B708B" w:rsidP="005B2CCC">
      <w:pPr>
        <w:spacing w:after="0"/>
      </w:pPr>
    </w:p>
    <w:p w:rsidR="002B708B" w:rsidRDefault="002B708B" w:rsidP="005B2CCC">
      <w:pPr>
        <w:spacing w:after="0"/>
      </w:pPr>
      <w:r>
        <w:t>Once CIL receipts are received, the monies are divided into three areas:</w:t>
      </w:r>
    </w:p>
    <w:p w:rsidR="002B708B" w:rsidRDefault="002B708B" w:rsidP="005B2CCC">
      <w:pPr>
        <w:spacing w:after="0"/>
      </w:pPr>
    </w:p>
    <w:p w:rsidR="002B708B" w:rsidRPr="00CA13F0" w:rsidRDefault="002B708B" w:rsidP="002B708B">
      <w:pPr>
        <w:pStyle w:val="ListParagraph"/>
        <w:numPr>
          <w:ilvl w:val="0"/>
          <w:numId w:val="4"/>
        </w:numPr>
        <w:spacing w:after="0"/>
      </w:pPr>
      <w:r w:rsidRPr="00CA13F0">
        <w:rPr>
          <w:b/>
        </w:rPr>
        <w:t>Strategic CIL</w:t>
      </w:r>
      <w:r w:rsidRPr="00CA13F0">
        <w:t xml:space="preserve"> – this is to be spent on items identified in WDC’s Regulation</w:t>
      </w:r>
      <w:r w:rsidR="0056023B" w:rsidRPr="00CA13F0">
        <w:t xml:space="preserve"> 123 list which can be found at </w:t>
      </w:r>
      <w:hyperlink r:id="rId10" w:history="1">
        <w:r w:rsidR="0056023B" w:rsidRPr="00CA13F0">
          <w:rPr>
            <w:rStyle w:val="Hyperlink"/>
          </w:rPr>
          <w:t>https://www.warwickdc.gov.uk/downloads/file/4878/cil_reg_123_list</w:t>
        </w:r>
      </w:hyperlink>
    </w:p>
    <w:p w:rsidR="002B708B" w:rsidRPr="00CA13F0" w:rsidRDefault="002B708B" w:rsidP="005B2CCC">
      <w:pPr>
        <w:spacing w:after="0"/>
      </w:pPr>
    </w:p>
    <w:p w:rsidR="00202A20" w:rsidRDefault="002B708B" w:rsidP="005B2CCC">
      <w:pPr>
        <w:spacing w:after="0"/>
      </w:pPr>
      <w:r w:rsidRPr="00CA13F0">
        <w:t>I</w:t>
      </w:r>
      <w:r w:rsidR="00202A20" w:rsidRPr="00CA13F0">
        <w:t xml:space="preserve">n this context WDC recognised that the relationship between the Reg. 123 List and the Infrastructure Delivery Plan (IDP) is vital. The IDP is underpinned by an evidence base which was prepared alongside the Local Plan. </w:t>
      </w:r>
      <w:r w:rsidR="00202A20" w:rsidRPr="001624E9">
        <w:t xml:space="preserve">Schemes in the IDP have therefore been identified as being priorities to address the impact of growth. The current </w:t>
      </w:r>
      <w:r w:rsidR="00036308" w:rsidRPr="001624E9">
        <w:t xml:space="preserve">CIL Regulation 123 list </w:t>
      </w:r>
      <w:r w:rsidR="00202A20" w:rsidRPr="001624E9">
        <w:t>was agreed by WDC Exec</w:t>
      </w:r>
      <w:r w:rsidR="001624E9" w:rsidRPr="001624E9">
        <w:t>utive Committee in March 2018</w:t>
      </w:r>
      <w:r w:rsidR="00202A20" w:rsidRPr="001624E9">
        <w:t>. When charging authorities wish to revise their regulation 123 list, they should ensure that any changes are</w:t>
      </w:r>
      <w:r w:rsidR="00202A20" w:rsidRPr="00CA13F0">
        <w:t xml:space="preserve"> clearly explained and subject to appropriate local consultation.</w:t>
      </w:r>
    </w:p>
    <w:p w:rsidR="002B708B" w:rsidRDefault="002B708B" w:rsidP="005B2CCC">
      <w:pPr>
        <w:spacing w:after="0"/>
      </w:pPr>
    </w:p>
    <w:p w:rsidR="002B708B" w:rsidRPr="002B708B" w:rsidRDefault="002B708B" w:rsidP="002B708B">
      <w:pPr>
        <w:pStyle w:val="ListParagraph"/>
        <w:numPr>
          <w:ilvl w:val="0"/>
          <w:numId w:val="4"/>
        </w:numPr>
        <w:spacing w:after="0"/>
        <w:rPr>
          <w:b/>
        </w:rPr>
      </w:pPr>
      <w:r w:rsidRPr="002B708B">
        <w:rPr>
          <w:b/>
        </w:rPr>
        <w:t>Parish and Town Councils</w:t>
      </w:r>
      <w:r>
        <w:rPr>
          <w:b/>
        </w:rPr>
        <w:t xml:space="preserve"> </w:t>
      </w:r>
      <w:r>
        <w:t xml:space="preserve">- </w:t>
      </w:r>
      <w:r w:rsidRPr="002B708B">
        <w:t>this is passed directly to the Parish</w:t>
      </w:r>
      <w:r w:rsidR="0056023B">
        <w:t xml:space="preserve"> / Town</w:t>
      </w:r>
      <w:r w:rsidRPr="002B708B">
        <w:t xml:space="preserve"> Council where the development takes place</w:t>
      </w:r>
    </w:p>
    <w:p w:rsidR="005B2CCC" w:rsidRPr="00202A20" w:rsidRDefault="005B2CCC" w:rsidP="005B2CCC">
      <w:pPr>
        <w:spacing w:after="0"/>
      </w:pPr>
    </w:p>
    <w:p w:rsidR="00202A20" w:rsidRDefault="0056023B" w:rsidP="005B2CCC">
      <w:pPr>
        <w:spacing w:after="0"/>
      </w:pPr>
      <w:r>
        <w:t>The amount passed to Parish / Town Councils</w:t>
      </w:r>
      <w:r w:rsidRPr="0056023B">
        <w:t xml:space="preserve"> can be up to 25% of the total CIL Receipts where a Neighbourhood Plan exists. Parishes</w:t>
      </w:r>
      <w:r w:rsidR="00036308">
        <w:t xml:space="preserve"> / Towns</w:t>
      </w:r>
      <w:r w:rsidRPr="0056023B">
        <w:t xml:space="preserve"> without a Neighbourhood Plan will receive 15% (capped at £100 per</w:t>
      </w:r>
      <w:r>
        <w:t xml:space="preserve"> existing Council Tax Dwelling)</w:t>
      </w:r>
      <w:r w:rsidRPr="0056023B">
        <w:t>.</w:t>
      </w:r>
      <w:r>
        <w:t xml:space="preserve"> The CIL allocation</w:t>
      </w:r>
      <w:r w:rsidR="00202A20" w:rsidRPr="00202A20">
        <w:t xml:space="preserve"> must be spent to support the impact of developments on local communities, they must in turn report on their levy income and spending.</w:t>
      </w:r>
      <w:bookmarkStart w:id="0" w:name="_GoBack"/>
      <w:bookmarkEnd w:id="0"/>
    </w:p>
    <w:p w:rsidR="0056023B" w:rsidRDefault="0056023B" w:rsidP="005B2CCC">
      <w:pPr>
        <w:spacing w:after="0"/>
      </w:pPr>
    </w:p>
    <w:p w:rsidR="0056023B" w:rsidRPr="00662256" w:rsidRDefault="0056023B" w:rsidP="0056023B">
      <w:pPr>
        <w:pStyle w:val="ListParagraph"/>
        <w:numPr>
          <w:ilvl w:val="0"/>
          <w:numId w:val="4"/>
        </w:numPr>
        <w:spacing w:after="0"/>
      </w:pPr>
      <w:r w:rsidRPr="00662256">
        <w:rPr>
          <w:b/>
        </w:rPr>
        <w:t>Administration Expenditure</w:t>
      </w:r>
      <w:r w:rsidRPr="00662256">
        <w:t xml:space="preserve"> – up to 5% of all CIL receipts can be retained for administration costs for the Levy by the charging authority.</w:t>
      </w:r>
    </w:p>
    <w:p w:rsidR="0056023B" w:rsidRPr="00662256" w:rsidRDefault="0056023B" w:rsidP="0056023B">
      <w:pPr>
        <w:spacing w:after="0"/>
      </w:pPr>
    </w:p>
    <w:p w:rsidR="0056023B" w:rsidRDefault="0056023B" w:rsidP="0056023B">
      <w:pPr>
        <w:spacing w:after="0"/>
      </w:pPr>
      <w:r w:rsidRPr="00662256">
        <w:t xml:space="preserve">WDC currently choose not to </w:t>
      </w:r>
      <w:r w:rsidR="00036308" w:rsidRPr="00662256">
        <w:t>apportion</w:t>
      </w:r>
      <w:r w:rsidRPr="00662256">
        <w:t xml:space="preserve"> the administration costs</w:t>
      </w:r>
      <w:r w:rsidR="00036308" w:rsidRPr="00662256">
        <w:t xml:space="preserve"> to them</w:t>
      </w:r>
      <w:r w:rsidRPr="00662256">
        <w:t xml:space="preserve"> </w:t>
      </w:r>
      <w:r w:rsidR="00036308" w:rsidRPr="00662256">
        <w:t>at the present time;</w:t>
      </w:r>
      <w:r w:rsidRPr="00662256">
        <w:t xml:space="preserve"> a decision was taken to maximize the use of CIL income on infrastructure. Administration costs are therefore currently cov</w:t>
      </w:r>
      <w:r w:rsidR="00036308" w:rsidRPr="00662256">
        <w:t>ered by WDC.</w:t>
      </w:r>
    </w:p>
    <w:p w:rsidR="00036308" w:rsidRDefault="00036308" w:rsidP="005B2CCC">
      <w:pPr>
        <w:spacing w:after="0"/>
      </w:pPr>
    </w:p>
    <w:p w:rsidR="00202A20" w:rsidRPr="00202A20" w:rsidRDefault="00036308" w:rsidP="005B2CCC">
      <w:pPr>
        <w:spacing w:after="0"/>
      </w:pPr>
      <w:r>
        <w:lastRenderedPageBreak/>
        <w:t>The t</w:t>
      </w:r>
      <w:r w:rsidR="00202A20" w:rsidRPr="00202A20">
        <w:t>able below sets out the CIL Reporting information as required by CIL Regulation 62 (4).</w:t>
      </w:r>
    </w:p>
    <w:p w:rsidR="00202A20" w:rsidRPr="00202A20" w:rsidRDefault="00202A20" w:rsidP="005B2CCC">
      <w:pPr>
        <w:spacing w:after="0"/>
      </w:pPr>
    </w:p>
    <w:tbl>
      <w:tblPr>
        <w:tblStyle w:val="TableGrid"/>
        <w:tblW w:w="0" w:type="auto"/>
        <w:tblLook w:val="04A0" w:firstRow="1" w:lastRow="0" w:firstColumn="1" w:lastColumn="0" w:noHBand="0" w:noVBand="1"/>
      </w:tblPr>
      <w:tblGrid>
        <w:gridCol w:w="1562"/>
        <w:gridCol w:w="5957"/>
        <w:gridCol w:w="1497"/>
      </w:tblGrid>
      <w:tr w:rsidR="00202A20" w:rsidRPr="00202A20" w:rsidTr="002160F9">
        <w:tc>
          <w:tcPr>
            <w:tcW w:w="1613" w:type="dxa"/>
          </w:tcPr>
          <w:p w:rsidR="00202A20" w:rsidRPr="00202A20" w:rsidRDefault="00202A20" w:rsidP="005B2CCC">
            <w:pPr>
              <w:spacing w:line="276" w:lineRule="auto"/>
            </w:pPr>
            <w:r w:rsidRPr="00202A20">
              <w:t>Regulation 62 reference</w:t>
            </w:r>
          </w:p>
        </w:tc>
        <w:tc>
          <w:tcPr>
            <w:tcW w:w="6446" w:type="dxa"/>
          </w:tcPr>
          <w:p w:rsidR="00202A20" w:rsidRPr="00202A20" w:rsidRDefault="00202A20" w:rsidP="005B2CCC">
            <w:pPr>
              <w:spacing w:line="276" w:lineRule="auto"/>
            </w:pPr>
            <w:r w:rsidRPr="00202A20">
              <w:t>Description</w:t>
            </w:r>
          </w:p>
        </w:tc>
        <w:tc>
          <w:tcPr>
            <w:tcW w:w="1183" w:type="dxa"/>
          </w:tcPr>
          <w:p w:rsidR="00202A20" w:rsidRPr="00202A20" w:rsidRDefault="00202A20" w:rsidP="005B2CCC">
            <w:pPr>
              <w:spacing w:line="276" w:lineRule="auto"/>
            </w:pPr>
            <w:r w:rsidRPr="00202A20">
              <w:t>Amount</w:t>
            </w:r>
          </w:p>
        </w:tc>
      </w:tr>
      <w:tr w:rsidR="00202A20" w:rsidRPr="00202A20" w:rsidTr="002160F9">
        <w:tc>
          <w:tcPr>
            <w:tcW w:w="1613" w:type="dxa"/>
          </w:tcPr>
          <w:p w:rsidR="00202A20" w:rsidRPr="00202A20" w:rsidRDefault="00202A20" w:rsidP="005B2CCC">
            <w:pPr>
              <w:spacing w:line="276" w:lineRule="auto"/>
            </w:pPr>
            <w:r w:rsidRPr="00202A20">
              <w:t>4.(a)</w:t>
            </w:r>
          </w:p>
        </w:tc>
        <w:tc>
          <w:tcPr>
            <w:tcW w:w="6446" w:type="dxa"/>
          </w:tcPr>
          <w:p w:rsidR="00202A20" w:rsidRPr="00202A20" w:rsidRDefault="00202A20" w:rsidP="005B2CCC">
            <w:pPr>
              <w:spacing w:line="276" w:lineRule="auto"/>
            </w:pPr>
            <w:r w:rsidRPr="00202A20">
              <w:t xml:space="preserve">Total value of CIL </w:t>
            </w:r>
            <w:r w:rsidR="000407A5">
              <w:t>Demand Notices raised in 2018/19</w:t>
            </w:r>
          </w:p>
        </w:tc>
        <w:tc>
          <w:tcPr>
            <w:tcW w:w="1183" w:type="dxa"/>
          </w:tcPr>
          <w:p w:rsidR="00202A20" w:rsidRPr="00202A20" w:rsidRDefault="006F4BA2" w:rsidP="005B2CCC">
            <w:pPr>
              <w:spacing w:line="276" w:lineRule="auto"/>
              <w:jc w:val="right"/>
            </w:pPr>
            <w:r>
              <w:t>£1,821,065.00</w:t>
            </w:r>
          </w:p>
        </w:tc>
      </w:tr>
      <w:tr w:rsidR="00202A20" w:rsidRPr="00202A20" w:rsidTr="002160F9">
        <w:tc>
          <w:tcPr>
            <w:tcW w:w="1613" w:type="dxa"/>
          </w:tcPr>
          <w:p w:rsidR="00202A20" w:rsidRPr="00202A20" w:rsidRDefault="00202A20" w:rsidP="005B2CCC">
            <w:pPr>
              <w:spacing w:line="276" w:lineRule="auto"/>
            </w:pPr>
          </w:p>
        </w:tc>
        <w:tc>
          <w:tcPr>
            <w:tcW w:w="6446" w:type="dxa"/>
          </w:tcPr>
          <w:p w:rsidR="00202A20" w:rsidRPr="00202A20" w:rsidRDefault="00202A20" w:rsidP="005B2CCC">
            <w:pPr>
              <w:spacing w:line="276" w:lineRule="auto"/>
            </w:pPr>
            <w:r w:rsidRPr="00202A20">
              <w:t xml:space="preserve">Total CIL receipts for </w:t>
            </w:r>
            <w:r w:rsidR="000407A5">
              <w:t>2018/19</w:t>
            </w:r>
          </w:p>
        </w:tc>
        <w:tc>
          <w:tcPr>
            <w:tcW w:w="1183" w:type="dxa"/>
          </w:tcPr>
          <w:p w:rsidR="00202A20" w:rsidRPr="00202A20" w:rsidRDefault="00014EEA" w:rsidP="005B2CCC">
            <w:pPr>
              <w:spacing w:line="276" w:lineRule="auto"/>
              <w:jc w:val="right"/>
            </w:pPr>
            <w:r>
              <w:t>£438,428.35</w:t>
            </w:r>
          </w:p>
        </w:tc>
      </w:tr>
      <w:tr w:rsidR="00202A20" w:rsidRPr="00202A20" w:rsidTr="002160F9">
        <w:tc>
          <w:tcPr>
            <w:tcW w:w="1613" w:type="dxa"/>
          </w:tcPr>
          <w:p w:rsidR="00202A20" w:rsidRPr="00202A20" w:rsidRDefault="00202A20" w:rsidP="005B2CCC">
            <w:pPr>
              <w:spacing w:line="276" w:lineRule="auto"/>
            </w:pPr>
          </w:p>
        </w:tc>
        <w:tc>
          <w:tcPr>
            <w:tcW w:w="6446" w:type="dxa"/>
          </w:tcPr>
          <w:p w:rsidR="00202A20" w:rsidRPr="00202A20" w:rsidRDefault="000407A5" w:rsidP="005B2CCC">
            <w:pPr>
              <w:spacing w:line="276" w:lineRule="auto"/>
            </w:pPr>
            <w:r>
              <w:t>Total CIL payable in 2019/20</w:t>
            </w:r>
            <w:r w:rsidR="00202A20" w:rsidRPr="00202A20">
              <w:t xml:space="preserve"> from Demand Notices issued in </w:t>
            </w:r>
            <w:r w:rsidR="006F4BA2">
              <w:t>2018/19</w:t>
            </w:r>
            <w:r w:rsidR="00202A20" w:rsidRPr="00202A20">
              <w:t>.</w:t>
            </w:r>
          </w:p>
        </w:tc>
        <w:tc>
          <w:tcPr>
            <w:tcW w:w="1183" w:type="dxa"/>
          </w:tcPr>
          <w:p w:rsidR="00202A20" w:rsidRPr="00202A20" w:rsidRDefault="00014EEA" w:rsidP="005B2CCC">
            <w:pPr>
              <w:spacing w:line="276" w:lineRule="auto"/>
              <w:jc w:val="right"/>
            </w:pPr>
            <w:r>
              <w:t>£1,382,636.65</w:t>
            </w:r>
          </w:p>
        </w:tc>
      </w:tr>
      <w:tr w:rsidR="00202A20" w:rsidRPr="00202A20" w:rsidTr="002160F9">
        <w:tc>
          <w:tcPr>
            <w:tcW w:w="1613" w:type="dxa"/>
          </w:tcPr>
          <w:p w:rsidR="00202A20" w:rsidRPr="00202A20" w:rsidRDefault="00202A20" w:rsidP="005B2CCC">
            <w:pPr>
              <w:spacing w:line="276" w:lineRule="auto"/>
            </w:pPr>
            <w:r w:rsidRPr="00202A20">
              <w:t>4.(b)</w:t>
            </w:r>
          </w:p>
        </w:tc>
        <w:tc>
          <w:tcPr>
            <w:tcW w:w="6446" w:type="dxa"/>
          </w:tcPr>
          <w:p w:rsidR="00202A20" w:rsidRPr="00202A20" w:rsidRDefault="00202A20" w:rsidP="005B2CCC">
            <w:pPr>
              <w:spacing w:line="276" w:lineRule="auto"/>
            </w:pPr>
            <w:r w:rsidRPr="00202A20">
              <w:t xml:space="preserve">Total CIL expenditure in </w:t>
            </w:r>
            <w:r w:rsidR="000407A5">
              <w:t>2018/19</w:t>
            </w:r>
          </w:p>
        </w:tc>
        <w:tc>
          <w:tcPr>
            <w:tcW w:w="1183" w:type="dxa"/>
          </w:tcPr>
          <w:p w:rsidR="00202A20" w:rsidRPr="00202A20" w:rsidRDefault="00202A20" w:rsidP="005B2CCC">
            <w:pPr>
              <w:spacing w:line="276" w:lineRule="auto"/>
              <w:jc w:val="right"/>
            </w:pPr>
            <w:r w:rsidRPr="00202A20">
              <w:t>0</w:t>
            </w:r>
          </w:p>
        </w:tc>
      </w:tr>
      <w:tr w:rsidR="00202A20" w:rsidRPr="00202A20" w:rsidTr="002160F9">
        <w:tc>
          <w:tcPr>
            <w:tcW w:w="1613" w:type="dxa"/>
          </w:tcPr>
          <w:p w:rsidR="00202A20" w:rsidRPr="00202A20" w:rsidRDefault="00202A20" w:rsidP="005B2CCC">
            <w:pPr>
              <w:spacing w:line="276" w:lineRule="auto"/>
            </w:pPr>
            <w:r w:rsidRPr="00202A20">
              <w:t>4.(c) (</w:t>
            </w:r>
            <w:proofErr w:type="spellStart"/>
            <w:r w:rsidRPr="00202A20">
              <w:t>i</w:t>
            </w:r>
            <w:proofErr w:type="spellEnd"/>
            <w:r w:rsidRPr="00202A20">
              <w:t>) &amp; (ii)</w:t>
            </w:r>
          </w:p>
        </w:tc>
        <w:tc>
          <w:tcPr>
            <w:tcW w:w="6446" w:type="dxa"/>
          </w:tcPr>
          <w:p w:rsidR="00202A20" w:rsidRPr="00202A20" w:rsidRDefault="00202A20" w:rsidP="005B2CCC">
            <w:pPr>
              <w:spacing w:line="276" w:lineRule="auto"/>
            </w:pPr>
            <w:r w:rsidRPr="00202A20">
              <w:t>The items of infrastructure to which CIL (including land payments) has  been applied and amount of CIL funded expenditure on each item -:</w:t>
            </w:r>
          </w:p>
          <w:p w:rsidR="00202A20" w:rsidRPr="00202A20" w:rsidRDefault="00202A20" w:rsidP="005B2CCC">
            <w:pPr>
              <w:numPr>
                <w:ilvl w:val="0"/>
                <w:numId w:val="3"/>
              </w:numPr>
              <w:spacing w:line="276" w:lineRule="auto"/>
            </w:pPr>
            <w:r w:rsidRPr="00202A20">
              <w:t>Community / Leisure Infrastructure</w:t>
            </w:r>
          </w:p>
          <w:p w:rsidR="00202A20" w:rsidRPr="00202A20" w:rsidRDefault="00202A20" w:rsidP="005B2CCC">
            <w:pPr>
              <w:numPr>
                <w:ilvl w:val="0"/>
                <w:numId w:val="3"/>
              </w:numPr>
              <w:spacing w:line="276" w:lineRule="auto"/>
            </w:pPr>
            <w:r w:rsidRPr="00202A20">
              <w:t>Transportation / Highways</w:t>
            </w:r>
          </w:p>
          <w:p w:rsidR="00202A20" w:rsidRPr="00202A20" w:rsidRDefault="00202A20" w:rsidP="005B2CCC">
            <w:pPr>
              <w:numPr>
                <w:ilvl w:val="0"/>
                <w:numId w:val="3"/>
              </w:numPr>
              <w:spacing w:line="276" w:lineRule="auto"/>
            </w:pPr>
            <w:r w:rsidRPr="00202A20">
              <w:t>Green Infrastructure</w:t>
            </w:r>
          </w:p>
        </w:tc>
        <w:tc>
          <w:tcPr>
            <w:tcW w:w="1183" w:type="dxa"/>
          </w:tcPr>
          <w:p w:rsidR="00202A20" w:rsidRPr="00202A20" w:rsidRDefault="00202A20" w:rsidP="005B2CCC">
            <w:pPr>
              <w:spacing w:line="276" w:lineRule="auto"/>
              <w:jc w:val="right"/>
            </w:pPr>
          </w:p>
          <w:p w:rsidR="00202A20" w:rsidRPr="00202A20" w:rsidRDefault="00202A20" w:rsidP="005B2CCC">
            <w:pPr>
              <w:spacing w:line="276" w:lineRule="auto"/>
              <w:jc w:val="right"/>
            </w:pPr>
          </w:p>
          <w:p w:rsidR="00202A20" w:rsidRPr="00202A20" w:rsidRDefault="00202A20" w:rsidP="005B2CCC">
            <w:pPr>
              <w:spacing w:line="276" w:lineRule="auto"/>
              <w:jc w:val="right"/>
            </w:pPr>
            <w:r w:rsidRPr="00202A20">
              <w:t>0</w:t>
            </w:r>
          </w:p>
          <w:p w:rsidR="00202A20" w:rsidRPr="00202A20" w:rsidRDefault="00202A20" w:rsidP="005B2CCC">
            <w:pPr>
              <w:spacing w:line="276" w:lineRule="auto"/>
              <w:jc w:val="right"/>
            </w:pPr>
            <w:r w:rsidRPr="00202A20">
              <w:t>0</w:t>
            </w:r>
          </w:p>
          <w:p w:rsidR="00202A20" w:rsidRPr="00202A20" w:rsidRDefault="00202A20" w:rsidP="005B2CCC">
            <w:pPr>
              <w:spacing w:line="276" w:lineRule="auto"/>
              <w:jc w:val="right"/>
            </w:pPr>
            <w:r w:rsidRPr="00202A20">
              <w:t>0</w:t>
            </w:r>
          </w:p>
        </w:tc>
      </w:tr>
      <w:tr w:rsidR="00202A20" w:rsidRPr="00202A20" w:rsidTr="002160F9">
        <w:tc>
          <w:tcPr>
            <w:tcW w:w="1613" w:type="dxa"/>
          </w:tcPr>
          <w:p w:rsidR="00202A20" w:rsidRPr="00202A20" w:rsidRDefault="00202A20" w:rsidP="005B2CCC">
            <w:pPr>
              <w:spacing w:line="276" w:lineRule="auto"/>
            </w:pPr>
            <w:r w:rsidRPr="00202A20">
              <w:t>4.(c) (iii)</w:t>
            </w:r>
          </w:p>
        </w:tc>
        <w:tc>
          <w:tcPr>
            <w:tcW w:w="6446" w:type="dxa"/>
          </w:tcPr>
          <w:p w:rsidR="00202A20" w:rsidRPr="00202A20" w:rsidRDefault="00202A20" w:rsidP="005B2CCC">
            <w:pPr>
              <w:spacing w:line="276" w:lineRule="auto"/>
            </w:pPr>
            <w:r w:rsidRPr="00202A20">
              <w:t>Amount of CIL applied to repay money borrowed, including any interest, with details of the infrastructure items which that money was used to provide (wholly or in part)</w:t>
            </w:r>
          </w:p>
        </w:tc>
        <w:tc>
          <w:tcPr>
            <w:tcW w:w="1183" w:type="dxa"/>
          </w:tcPr>
          <w:p w:rsidR="00202A20" w:rsidRPr="00202A20" w:rsidRDefault="00202A20" w:rsidP="005B2CCC">
            <w:pPr>
              <w:spacing w:line="276" w:lineRule="auto"/>
              <w:jc w:val="right"/>
            </w:pPr>
          </w:p>
          <w:p w:rsidR="00202A20" w:rsidRPr="00202A20" w:rsidRDefault="00202A20" w:rsidP="005B2CCC">
            <w:pPr>
              <w:spacing w:line="276" w:lineRule="auto"/>
              <w:jc w:val="right"/>
            </w:pPr>
            <w:r w:rsidRPr="00202A20">
              <w:t>N/A</w:t>
            </w:r>
          </w:p>
        </w:tc>
      </w:tr>
      <w:tr w:rsidR="00202A20" w:rsidRPr="00202A20" w:rsidTr="002160F9">
        <w:tc>
          <w:tcPr>
            <w:tcW w:w="1613" w:type="dxa"/>
          </w:tcPr>
          <w:p w:rsidR="00202A20" w:rsidRPr="00202A20" w:rsidRDefault="00202A20" w:rsidP="005B2CCC">
            <w:pPr>
              <w:spacing w:line="276" w:lineRule="auto"/>
            </w:pPr>
            <w:r w:rsidRPr="00202A20">
              <w:t>4.(c) (iv)</w:t>
            </w:r>
          </w:p>
        </w:tc>
        <w:tc>
          <w:tcPr>
            <w:tcW w:w="6446" w:type="dxa"/>
          </w:tcPr>
          <w:p w:rsidR="00202A20" w:rsidRPr="00202A20" w:rsidRDefault="00202A20" w:rsidP="005B2CCC">
            <w:pPr>
              <w:spacing w:line="276" w:lineRule="auto"/>
            </w:pPr>
            <w:r w:rsidRPr="00202A20">
              <w:t>Amount of CIL applied to administrative expenses pursuant to regulation 61, and that amount expressed as a percentage of the CIL Demand Notices issued in that year in accordance with regulation 61.</w:t>
            </w:r>
          </w:p>
        </w:tc>
        <w:tc>
          <w:tcPr>
            <w:tcW w:w="1183" w:type="dxa"/>
          </w:tcPr>
          <w:p w:rsidR="00202A20" w:rsidRPr="00202A20" w:rsidRDefault="00202A20" w:rsidP="005B2CCC">
            <w:pPr>
              <w:spacing w:line="276" w:lineRule="auto"/>
              <w:jc w:val="right"/>
            </w:pPr>
          </w:p>
          <w:p w:rsidR="00202A20" w:rsidRPr="00202A20" w:rsidRDefault="00202A20" w:rsidP="005B2CCC">
            <w:pPr>
              <w:spacing w:line="276" w:lineRule="auto"/>
              <w:jc w:val="right"/>
            </w:pPr>
            <w:r w:rsidRPr="00202A20">
              <w:t>N/A</w:t>
            </w:r>
          </w:p>
        </w:tc>
      </w:tr>
      <w:tr w:rsidR="00202A20" w:rsidRPr="00202A20" w:rsidTr="002160F9">
        <w:tc>
          <w:tcPr>
            <w:tcW w:w="1613" w:type="dxa"/>
          </w:tcPr>
          <w:p w:rsidR="00202A20" w:rsidRPr="00202A20" w:rsidRDefault="00202A20" w:rsidP="005B2CCC">
            <w:pPr>
              <w:spacing w:line="276" w:lineRule="auto"/>
            </w:pPr>
            <w:r w:rsidRPr="00202A20">
              <w:t>4.(d) (</w:t>
            </w:r>
            <w:proofErr w:type="spellStart"/>
            <w:r w:rsidRPr="00202A20">
              <w:t>i</w:t>
            </w:r>
            <w:proofErr w:type="spellEnd"/>
            <w:r w:rsidRPr="00202A20">
              <w:t>)</w:t>
            </w:r>
          </w:p>
        </w:tc>
        <w:tc>
          <w:tcPr>
            <w:tcW w:w="6446" w:type="dxa"/>
          </w:tcPr>
          <w:p w:rsidR="00202A20" w:rsidRPr="00202A20" w:rsidRDefault="00202A20" w:rsidP="005B2CCC">
            <w:pPr>
              <w:spacing w:line="276" w:lineRule="auto"/>
            </w:pPr>
            <w:r w:rsidRPr="00202A20">
              <w:t>Total amount of CIL receipts retained at the end of the reported year.</w:t>
            </w:r>
          </w:p>
        </w:tc>
        <w:tc>
          <w:tcPr>
            <w:tcW w:w="1183" w:type="dxa"/>
          </w:tcPr>
          <w:p w:rsidR="00202A20" w:rsidRPr="00202A20" w:rsidRDefault="00014EEA" w:rsidP="005B2CCC">
            <w:pPr>
              <w:spacing w:line="276" w:lineRule="auto"/>
              <w:jc w:val="right"/>
            </w:pPr>
            <w:r>
              <w:t>£438,428.35</w:t>
            </w:r>
          </w:p>
        </w:tc>
      </w:tr>
    </w:tbl>
    <w:p w:rsidR="00E87F76" w:rsidRPr="00E87F76" w:rsidRDefault="00E87F76" w:rsidP="005B2CCC">
      <w:pPr>
        <w:spacing w:after="0"/>
      </w:pPr>
    </w:p>
    <w:p w:rsidR="006D5AC6" w:rsidRDefault="00036308" w:rsidP="005B2CCC">
      <w:pPr>
        <w:spacing w:after="0"/>
      </w:pPr>
      <w:r>
        <w:t>F</w:t>
      </w:r>
      <w:r w:rsidR="0056023B">
        <w:t>urther information about Warwick District</w:t>
      </w:r>
      <w:r w:rsidR="0056023B" w:rsidRPr="0056023B">
        <w:t xml:space="preserve"> Council Community Infrastructure Levy </w:t>
      </w:r>
      <w:r w:rsidR="00D025B7">
        <w:t xml:space="preserve">can be obtained from:  </w:t>
      </w:r>
      <w:hyperlink r:id="rId11" w:history="1">
        <w:r w:rsidR="00D025B7" w:rsidRPr="00D025B7">
          <w:rPr>
            <w:rStyle w:val="Hyperlink"/>
          </w:rPr>
          <w:t>https://www.warwickdc.gov.uk/info/20798/community_infrastructure_levy_cil</w:t>
        </w:r>
      </w:hyperlink>
    </w:p>
    <w:sectPr w:rsidR="006D5AC6" w:rsidSect="00CD0183">
      <w:footerReference w:type="default" r:id="rId12"/>
      <w:head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BE" w:rsidRDefault="00367FBE" w:rsidP="00BC61F4">
      <w:pPr>
        <w:spacing w:after="0" w:line="240" w:lineRule="auto"/>
      </w:pPr>
      <w:r>
        <w:separator/>
      </w:r>
    </w:p>
  </w:endnote>
  <w:endnote w:type="continuationSeparator" w:id="0">
    <w:p w:rsidR="00367FBE" w:rsidRDefault="00367FBE" w:rsidP="00BC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F4" w:rsidRDefault="005B2CCC" w:rsidP="00BC61F4">
    <w:pPr>
      <w:pStyle w:val="Footer"/>
      <w:pBdr>
        <w:top w:val="single" w:sz="4" w:space="1" w:color="auto"/>
      </w:pBdr>
    </w:pPr>
    <w:r>
      <w:t>CIL Regulation 62 Monitoring Report</w:t>
    </w:r>
    <w:r w:rsidR="00BC61F4">
      <w:t xml:space="preserve"> </w:t>
    </w:r>
    <w:r w:rsidR="000407A5">
      <w:t>2018/19</w:t>
    </w:r>
  </w:p>
  <w:p w:rsidR="00BC61F4" w:rsidRDefault="00BC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BE" w:rsidRDefault="00367FBE" w:rsidP="00BC61F4">
      <w:pPr>
        <w:spacing w:after="0" w:line="240" w:lineRule="auto"/>
      </w:pPr>
      <w:r>
        <w:separator/>
      </w:r>
    </w:p>
  </w:footnote>
  <w:footnote w:type="continuationSeparator" w:id="0">
    <w:p w:rsidR="00367FBE" w:rsidRDefault="00367FBE" w:rsidP="00BC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07691"/>
      <w:docPartObj>
        <w:docPartGallery w:val="Watermarks"/>
        <w:docPartUnique/>
      </w:docPartObj>
    </w:sdtPr>
    <w:sdtEndPr/>
    <w:sdtContent>
      <w:p w:rsidR="00D7704D" w:rsidRDefault="001624E9">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1808"/>
    <w:multiLevelType w:val="hybridMultilevel"/>
    <w:tmpl w:val="7A3A8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04940"/>
    <w:multiLevelType w:val="hybridMultilevel"/>
    <w:tmpl w:val="B4C0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85FD5"/>
    <w:multiLevelType w:val="hybridMultilevel"/>
    <w:tmpl w:val="0AB8AF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4A3972"/>
    <w:multiLevelType w:val="hybridMultilevel"/>
    <w:tmpl w:val="F412D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25"/>
    <w:rsid w:val="00000F9E"/>
    <w:rsid w:val="00006AB1"/>
    <w:rsid w:val="00010617"/>
    <w:rsid w:val="00014EEA"/>
    <w:rsid w:val="00020575"/>
    <w:rsid w:val="00022BDE"/>
    <w:rsid w:val="00036308"/>
    <w:rsid w:val="000407A5"/>
    <w:rsid w:val="000414DA"/>
    <w:rsid w:val="00042B9B"/>
    <w:rsid w:val="0005229A"/>
    <w:rsid w:val="000A273D"/>
    <w:rsid w:val="000B6FEF"/>
    <w:rsid w:val="00115494"/>
    <w:rsid w:val="00122BEA"/>
    <w:rsid w:val="00127724"/>
    <w:rsid w:val="001474E8"/>
    <w:rsid w:val="001624E9"/>
    <w:rsid w:val="001700A3"/>
    <w:rsid w:val="0017749F"/>
    <w:rsid w:val="0018279D"/>
    <w:rsid w:val="001B5462"/>
    <w:rsid w:val="001C48FB"/>
    <w:rsid w:val="001C6867"/>
    <w:rsid w:val="002007B9"/>
    <w:rsid w:val="00202A20"/>
    <w:rsid w:val="002160F9"/>
    <w:rsid w:val="00223383"/>
    <w:rsid w:val="002249C5"/>
    <w:rsid w:val="002341BD"/>
    <w:rsid w:val="00251147"/>
    <w:rsid w:val="0025329E"/>
    <w:rsid w:val="0026385E"/>
    <w:rsid w:val="00276CB2"/>
    <w:rsid w:val="00282052"/>
    <w:rsid w:val="0029277D"/>
    <w:rsid w:val="002A195D"/>
    <w:rsid w:val="002B708B"/>
    <w:rsid w:val="002C09C3"/>
    <w:rsid w:val="002C17E0"/>
    <w:rsid w:val="002D3E9A"/>
    <w:rsid w:val="002D42C7"/>
    <w:rsid w:val="002D6946"/>
    <w:rsid w:val="002E052B"/>
    <w:rsid w:val="00305F25"/>
    <w:rsid w:val="0034176D"/>
    <w:rsid w:val="00367FBE"/>
    <w:rsid w:val="0037131D"/>
    <w:rsid w:val="00371432"/>
    <w:rsid w:val="0037467A"/>
    <w:rsid w:val="00376886"/>
    <w:rsid w:val="00382288"/>
    <w:rsid w:val="003A13AA"/>
    <w:rsid w:val="003B68A9"/>
    <w:rsid w:val="003D4846"/>
    <w:rsid w:val="003F6373"/>
    <w:rsid w:val="00402B45"/>
    <w:rsid w:val="00416B63"/>
    <w:rsid w:val="00421BF6"/>
    <w:rsid w:val="00426CAB"/>
    <w:rsid w:val="0043469D"/>
    <w:rsid w:val="004359C7"/>
    <w:rsid w:val="00440645"/>
    <w:rsid w:val="00476745"/>
    <w:rsid w:val="00483CEE"/>
    <w:rsid w:val="004A1DDE"/>
    <w:rsid w:val="004A31FC"/>
    <w:rsid w:val="004B1BAF"/>
    <w:rsid w:val="004C3888"/>
    <w:rsid w:val="004D34B3"/>
    <w:rsid w:val="004D5817"/>
    <w:rsid w:val="004E321F"/>
    <w:rsid w:val="0051300C"/>
    <w:rsid w:val="0053251E"/>
    <w:rsid w:val="00535F63"/>
    <w:rsid w:val="005371B1"/>
    <w:rsid w:val="0053784D"/>
    <w:rsid w:val="00554CE4"/>
    <w:rsid w:val="0056023B"/>
    <w:rsid w:val="005606C8"/>
    <w:rsid w:val="005954D9"/>
    <w:rsid w:val="005B2CCC"/>
    <w:rsid w:val="005C60F8"/>
    <w:rsid w:val="0060557C"/>
    <w:rsid w:val="006177D4"/>
    <w:rsid w:val="00621911"/>
    <w:rsid w:val="00644B97"/>
    <w:rsid w:val="006455A2"/>
    <w:rsid w:val="00646443"/>
    <w:rsid w:val="0065332A"/>
    <w:rsid w:val="00662256"/>
    <w:rsid w:val="00681678"/>
    <w:rsid w:val="00694F2E"/>
    <w:rsid w:val="00695D49"/>
    <w:rsid w:val="00697B67"/>
    <w:rsid w:val="006D3B2C"/>
    <w:rsid w:val="006D5AC6"/>
    <w:rsid w:val="006D630E"/>
    <w:rsid w:val="006E5E62"/>
    <w:rsid w:val="006F4BA2"/>
    <w:rsid w:val="00701751"/>
    <w:rsid w:val="007067C4"/>
    <w:rsid w:val="00715B2D"/>
    <w:rsid w:val="00717868"/>
    <w:rsid w:val="00722447"/>
    <w:rsid w:val="0072255F"/>
    <w:rsid w:val="00725A83"/>
    <w:rsid w:val="00735848"/>
    <w:rsid w:val="0075134F"/>
    <w:rsid w:val="007600D9"/>
    <w:rsid w:val="00765459"/>
    <w:rsid w:val="00770218"/>
    <w:rsid w:val="00782EC3"/>
    <w:rsid w:val="00786A3C"/>
    <w:rsid w:val="00791254"/>
    <w:rsid w:val="007923F0"/>
    <w:rsid w:val="007C4F90"/>
    <w:rsid w:val="007C512A"/>
    <w:rsid w:val="007C6E02"/>
    <w:rsid w:val="007E1DF8"/>
    <w:rsid w:val="007E5604"/>
    <w:rsid w:val="007E598D"/>
    <w:rsid w:val="007F1A1F"/>
    <w:rsid w:val="007F3726"/>
    <w:rsid w:val="007F5CC9"/>
    <w:rsid w:val="00831422"/>
    <w:rsid w:val="00853B99"/>
    <w:rsid w:val="00893727"/>
    <w:rsid w:val="008A015C"/>
    <w:rsid w:val="008A708D"/>
    <w:rsid w:val="008B4F58"/>
    <w:rsid w:val="008C1FB6"/>
    <w:rsid w:val="008C3005"/>
    <w:rsid w:val="008C4474"/>
    <w:rsid w:val="008C4938"/>
    <w:rsid w:val="008D5837"/>
    <w:rsid w:val="008E237F"/>
    <w:rsid w:val="008E60DF"/>
    <w:rsid w:val="008F0EE0"/>
    <w:rsid w:val="00914557"/>
    <w:rsid w:val="0093171B"/>
    <w:rsid w:val="00940459"/>
    <w:rsid w:val="009412AF"/>
    <w:rsid w:val="0095201E"/>
    <w:rsid w:val="00952A8D"/>
    <w:rsid w:val="00955FCA"/>
    <w:rsid w:val="0098667D"/>
    <w:rsid w:val="009935FE"/>
    <w:rsid w:val="009946BA"/>
    <w:rsid w:val="009A7772"/>
    <w:rsid w:val="009B05B3"/>
    <w:rsid w:val="009C2463"/>
    <w:rsid w:val="009C4A8B"/>
    <w:rsid w:val="009F02C4"/>
    <w:rsid w:val="009F21F8"/>
    <w:rsid w:val="00A14E27"/>
    <w:rsid w:val="00A30F02"/>
    <w:rsid w:val="00A40352"/>
    <w:rsid w:val="00A44D38"/>
    <w:rsid w:val="00A579D5"/>
    <w:rsid w:val="00A60214"/>
    <w:rsid w:val="00A76191"/>
    <w:rsid w:val="00A87372"/>
    <w:rsid w:val="00A96416"/>
    <w:rsid w:val="00AA2A28"/>
    <w:rsid w:val="00AA507B"/>
    <w:rsid w:val="00AB0917"/>
    <w:rsid w:val="00AD47BB"/>
    <w:rsid w:val="00AD4AA6"/>
    <w:rsid w:val="00AE6C3F"/>
    <w:rsid w:val="00AF53E5"/>
    <w:rsid w:val="00AF6F9F"/>
    <w:rsid w:val="00B12A3C"/>
    <w:rsid w:val="00B16153"/>
    <w:rsid w:val="00B3355E"/>
    <w:rsid w:val="00B37BA3"/>
    <w:rsid w:val="00B41B8F"/>
    <w:rsid w:val="00B43030"/>
    <w:rsid w:val="00B5598B"/>
    <w:rsid w:val="00B63F35"/>
    <w:rsid w:val="00B64C81"/>
    <w:rsid w:val="00B67AB5"/>
    <w:rsid w:val="00B85845"/>
    <w:rsid w:val="00B862DE"/>
    <w:rsid w:val="00B91580"/>
    <w:rsid w:val="00B9680F"/>
    <w:rsid w:val="00BA3AB1"/>
    <w:rsid w:val="00BC61F4"/>
    <w:rsid w:val="00BF16DA"/>
    <w:rsid w:val="00BF762F"/>
    <w:rsid w:val="00C03674"/>
    <w:rsid w:val="00C63977"/>
    <w:rsid w:val="00C741DF"/>
    <w:rsid w:val="00C75CE6"/>
    <w:rsid w:val="00C80C41"/>
    <w:rsid w:val="00C93C33"/>
    <w:rsid w:val="00C95D67"/>
    <w:rsid w:val="00C97052"/>
    <w:rsid w:val="00CA13F0"/>
    <w:rsid w:val="00CA39A9"/>
    <w:rsid w:val="00CB4BB7"/>
    <w:rsid w:val="00CC7466"/>
    <w:rsid w:val="00CD0183"/>
    <w:rsid w:val="00CD71A9"/>
    <w:rsid w:val="00CE0849"/>
    <w:rsid w:val="00CE5E6B"/>
    <w:rsid w:val="00CE6830"/>
    <w:rsid w:val="00CF50FA"/>
    <w:rsid w:val="00D025B7"/>
    <w:rsid w:val="00D222F2"/>
    <w:rsid w:val="00D22813"/>
    <w:rsid w:val="00D37CE8"/>
    <w:rsid w:val="00D43707"/>
    <w:rsid w:val="00D47BD0"/>
    <w:rsid w:val="00D560D0"/>
    <w:rsid w:val="00D64E46"/>
    <w:rsid w:val="00D667CE"/>
    <w:rsid w:val="00D7214F"/>
    <w:rsid w:val="00D7704D"/>
    <w:rsid w:val="00D77B5F"/>
    <w:rsid w:val="00D9206A"/>
    <w:rsid w:val="00DB4DF2"/>
    <w:rsid w:val="00DD1CBD"/>
    <w:rsid w:val="00DE78A3"/>
    <w:rsid w:val="00E52A65"/>
    <w:rsid w:val="00E53F99"/>
    <w:rsid w:val="00E62A52"/>
    <w:rsid w:val="00E739EB"/>
    <w:rsid w:val="00E829DF"/>
    <w:rsid w:val="00E868B0"/>
    <w:rsid w:val="00E87F76"/>
    <w:rsid w:val="00E9146A"/>
    <w:rsid w:val="00E963E7"/>
    <w:rsid w:val="00EA7B9D"/>
    <w:rsid w:val="00EA7FD2"/>
    <w:rsid w:val="00F0118E"/>
    <w:rsid w:val="00F113C9"/>
    <w:rsid w:val="00F177A8"/>
    <w:rsid w:val="00F20356"/>
    <w:rsid w:val="00F26254"/>
    <w:rsid w:val="00F26BB3"/>
    <w:rsid w:val="00F3513C"/>
    <w:rsid w:val="00F56D3B"/>
    <w:rsid w:val="00F74D35"/>
    <w:rsid w:val="00F8735A"/>
    <w:rsid w:val="00FB37ED"/>
    <w:rsid w:val="00FD5E1D"/>
    <w:rsid w:val="00FE4337"/>
    <w:rsid w:val="00FF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4DB5D5"/>
  <w15:docId w15:val="{C247A758-D0A5-426E-A5A3-36785BE4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61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E"/>
    <w:pPr>
      <w:ind w:left="720"/>
      <w:contextualSpacing/>
    </w:pPr>
  </w:style>
  <w:style w:type="paragraph" w:styleId="BalloonText">
    <w:name w:val="Balloon Text"/>
    <w:basedOn w:val="Normal"/>
    <w:link w:val="BalloonTextChar"/>
    <w:uiPriority w:val="99"/>
    <w:semiHidden/>
    <w:unhideWhenUsed/>
    <w:rsid w:val="00F20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356"/>
    <w:rPr>
      <w:rFonts w:ascii="Tahoma" w:hAnsi="Tahoma" w:cs="Tahoma"/>
      <w:sz w:val="16"/>
      <w:szCs w:val="16"/>
    </w:rPr>
  </w:style>
  <w:style w:type="paragraph" w:styleId="Title">
    <w:name w:val="Title"/>
    <w:basedOn w:val="Normal"/>
    <w:next w:val="Normal"/>
    <w:link w:val="TitleChar"/>
    <w:uiPriority w:val="10"/>
    <w:qFormat/>
    <w:rsid w:val="00BC61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61F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C61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61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C6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1F4"/>
  </w:style>
  <w:style w:type="paragraph" w:styleId="Footer">
    <w:name w:val="footer"/>
    <w:basedOn w:val="Normal"/>
    <w:link w:val="FooterChar"/>
    <w:uiPriority w:val="99"/>
    <w:unhideWhenUsed/>
    <w:rsid w:val="00BC6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1F4"/>
  </w:style>
  <w:style w:type="table" w:styleId="TableGrid">
    <w:name w:val="Table Grid"/>
    <w:basedOn w:val="TableNormal"/>
    <w:uiPriority w:val="59"/>
    <w:rsid w:val="009F0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9F02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
    <w:name w:val="Medium Shading 2"/>
    <w:basedOn w:val="TableNormal"/>
    <w:uiPriority w:val="64"/>
    <w:rsid w:val="00DB4D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link w:val="NoSpacingChar"/>
    <w:uiPriority w:val="1"/>
    <w:qFormat/>
    <w:rsid w:val="00CD01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183"/>
    <w:rPr>
      <w:rFonts w:eastAsiaTheme="minorEastAsia"/>
      <w:lang w:val="en-US" w:eastAsia="ja-JP"/>
    </w:rPr>
  </w:style>
  <w:style w:type="character" w:styleId="Hyperlink">
    <w:name w:val="Hyperlink"/>
    <w:basedOn w:val="DefaultParagraphFont"/>
    <w:uiPriority w:val="99"/>
    <w:unhideWhenUsed/>
    <w:rsid w:val="00202A20"/>
    <w:rPr>
      <w:color w:val="0000FF" w:themeColor="hyperlink"/>
      <w:u w:val="single"/>
    </w:rPr>
  </w:style>
  <w:style w:type="character" w:styleId="FollowedHyperlink">
    <w:name w:val="FollowedHyperlink"/>
    <w:basedOn w:val="DefaultParagraphFont"/>
    <w:uiPriority w:val="99"/>
    <w:semiHidden/>
    <w:unhideWhenUsed/>
    <w:rsid w:val="00D025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rwickdc.gov.uk/info/20798/community_infrastructure_levy_c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arwickdc.gov.uk/downloads/file/4878/cil_reg_123_lis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4014A7-C5EC-4E94-A71C-C07BA6AD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3651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Community Infrastructure Levy Regulation 62 Monitoring Report</vt:lpstr>
    </vt:vector>
  </TitlesOfParts>
  <Company>Warwick District Council</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Infrastructure Levy Regulation 62 Monitoring Report</dc:title>
  <dc:subject>April 2018 / March 2019</dc:subject>
  <dc:creator>Development Services</dc:creator>
  <cp:lastModifiedBy>David Butler</cp:lastModifiedBy>
  <cp:revision>2</cp:revision>
  <cp:lastPrinted>2018-10-18T15:09:00Z</cp:lastPrinted>
  <dcterms:created xsi:type="dcterms:W3CDTF">2019-12-19T11:43:00Z</dcterms:created>
  <dcterms:modified xsi:type="dcterms:W3CDTF">2019-12-19T11:43:00Z</dcterms:modified>
</cp:coreProperties>
</file>