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</w:rPr>
      </w:pPr>
      <w:bookmarkStart w:id="0" w:name="_GoBack"/>
      <w:bookmarkEnd w:id="0"/>
      <w:r w:rsidRPr="00F401EC">
        <w:rPr>
          <w:rFonts w:ascii="Verdana-Bold" w:hAnsi="Verdana-Bold" w:cs="Verdana-Bold"/>
          <w:b/>
          <w:bCs/>
          <w:noProof/>
          <w:lang w:eastAsia="en-GB"/>
        </w:rPr>
        <w:drawing>
          <wp:inline distT="0" distB="0" distL="0" distR="0">
            <wp:extent cx="2219325" cy="1298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18" cy="13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</w:rPr>
      </w:pPr>
      <w:r>
        <w:rPr>
          <w:rFonts w:ascii="Verdana-Bold" w:hAnsi="Verdana-Bold" w:cs="Verdana-Bold"/>
          <w:b/>
          <w:bCs/>
        </w:rPr>
        <w:t>Neighbourhood Area Decision Notice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</w:rPr>
      </w:pPr>
      <w:r>
        <w:rPr>
          <w:rFonts w:ascii="Verdana-Bold" w:hAnsi="Verdana-Bold" w:cs="Verdana-Bold"/>
          <w:b/>
          <w:bCs/>
        </w:rPr>
        <w:t>Neighbourhood Planning (General) Regulations 2012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-Bold" w:hAnsi="Verdana-Bold" w:cs="Verdana-Bold"/>
          <w:b/>
          <w:bCs/>
          <w:sz w:val="20"/>
          <w:szCs w:val="20"/>
        </w:rPr>
        <w:t xml:space="preserve">Name of Neighbourhood Area: </w:t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9F2E39">
        <w:rPr>
          <w:rFonts w:ascii="Verdana-Bold" w:hAnsi="Verdana-Bold" w:cs="Verdana-Bold"/>
          <w:b/>
          <w:bCs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>Burton Green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-Bold" w:hAnsi="Verdana-Bold" w:cs="Verdana-Bold"/>
          <w:b/>
          <w:bCs/>
          <w:sz w:val="20"/>
          <w:szCs w:val="20"/>
        </w:rPr>
        <w:t xml:space="preserve">Qualifying Body: </w:t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9F2E39">
        <w:rPr>
          <w:rFonts w:ascii="Verdana-Bold" w:hAnsi="Verdana-Bold" w:cs="Verdana-Bold"/>
          <w:b/>
          <w:bCs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>Burton Green Parish Council</w:t>
      </w:r>
    </w:p>
    <w:p w:rsidR="00F401EC" w:rsidRDefault="00F401EC" w:rsidP="009F2E39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Verdana" w:hAnsi="Verdana" w:cs="Verdana"/>
          <w:sz w:val="20"/>
          <w:szCs w:val="20"/>
        </w:rPr>
      </w:pPr>
      <w:r>
        <w:rPr>
          <w:rFonts w:ascii="Verdana-Bold" w:hAnsi="Verdana-Bold" w:cs="Verdana-Bold"/>
          <w:b/>
          <w:bCs/>
          <w:sz w:val="20"/>
          <w:szCs w:val="20"/>
        </w:rPr>
        <w:t>Consultation Dates:</w:t>
      </w:r>
      <w:r w:rsidR="00460BA1">
        <w:rPr>
          <w:rFonts w:ascii="Verdana-Bold" w:hAnsi="Verdana-Bold" w:cs="Verdana-Bold"/>
          <w:b/>
          <w:bCs/>
          <w:sz w:val="20"/>
          <w:szCs w:val="20"/>
        </w:rPr>
        <w:t xml:space="preserve"> </w:t>
      </w:r>
      <w:r w:rsidR="00460BA1">
        <w:rPr>
          <w:rFonts w:ascii="Verdana-Bold" w:hAnsi="Verdana-Bold" w:cs="Verdana-Bold"/>
          <w:b/>
          <w:bCs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>Friday 19th</w:t>
      </w:r>
      <w:r w:rsidRPr="00460BA1">
        <w:rPr>
          <w:rFonts w:ascii="Verdana" w:hAnsi="Verdana" w:cs="Verdana"/>
          <w:sz w:val="20"/>
          <w:szCs w:val="20"/>
        </w:rPr>
        <w:t xml:space="preserve"> </w:t>
      </w:r>
      <w:r w:rsidR="00460BA1" w:rsidRPr="00460BA1">
        <w:rPr>
          <w:rFonts w:ascii="Verdana" w:hAnsi="Verdana" w:cs="Verdana"/>
          <w:sz w:val="20"/>
          <w:szCs w:val="20"/>
        </w:rPr>
        <w:t>July</w:t>
      </w:r>
      <w:r w:rsidR="00460BA1">
        <w:rPr>
          <w:rFonts w:ascii="Verdana" w:hAnsi="Verdana" w:cs="Verdana"/>
          <w:sz w:val="20"/>
          <w:szCs w:val="20"/>
        </w:rPr>
        <w:t xml:space="preserve"> to Friday 30</w:t>
      </w:r>
      <w:r>
        <w:rPr>
          <w:rFonts w:ascii="Verdana" w:hAnsi="Verdana" w:cs="Verdana"/>
          <w:sz w:val="13"/>
          <w:szCs w:val="13"/>
        </w:rPr>
        <w:t xml:space="preserve">th </w:t>
      </w:r>
      <w:r w:rsidR="00460BA1">
        <w:rPr>
          <w:rFonts w:ascii="Verdana" w:hAnsi="Verdana" w:cs="Verdana"/>
          <w:sz w:val="20"/>
          <w:szCs w:val="20"/>
        </w:rPr>
        <w:t>August 2019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Is the organisation making the </w:t>
      </w:r>
      <w:proofErr w:type="gramStart"/>
      <w:r>
        <w:rPr>
          <w:rFonts w:ascii="Verdana" w:hAnsi="Verdana" w:cs="Verdana"/>
          <w:sz w:val="20"/>
          <w:szCs w:val="20"/>
        </w:rPr>
        <w:t>area</w:t>
      </w:r>
      <w:proofErr w:type="gramEnd"/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application a relevant body under section</w:t>
      </w:r>
      <w:r w:rsidR="00460BA1">
        <w:rPr>
          <w:rFonts w:ascii="Verdana" w:hAnsi="Verdana" w:cs="Verdana"/>
          <w:sz w:val="20"/>
          <w:szCs w:val="20"/>
        </w:rPr>
        <w:tab/>
      </w:r>
      <w:r w:rsidR="009F2E39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>Yes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61</w:t>
      </w:r>
      <w:proofErr w:type="gramStart"/>
      <w:r>
        <w:rPr>
          <w:rFonts w:ascii="Verdana" w:hAnsi="Verdana" w:cs="Verdana"/>
          <w:sz w:val="20"/>
          <w:szCs w:val="20"/>
        </w:rPr>
        <w:t>G(</w:t>
      </w:r>
      <w:proofErr w:type="gramEnd"/>
      <w:r>
        <w:rPr>
          <w:rFonts w:ascii="Verdana" w:hAnsi="Verdana" w:cs="Verdana"/>
          <w:sz w:val="20"/>
          <w:szCs w:val="20"/>
        </w:rPr>
        <w:t>2) of the 1990 Act?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Is the Neighbourhood Area considered </w:t>
      </w:r>
      <w:proofErr w:type="gramStart"/>
      <w:r>
        <w:rPr>
          <w:rFonts w:ascii="Verdana" w:hAnsi="Verdana" w:cs="Verdana"/>
          <w:sz w:val="20"/>
          <w:szCs w:val="20"/>
        </w:rPr>
        <w:t>to</w:t>
      </w:r>
      <w:proofErr w:type="gramEnd"/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be appropriate under section 61</w:t>
      </w:r>
      <w:proofErr w:type="gramStart"/>
      <w:r>
        <w:rPr>
          <w:rFonts w:ascii="Verdana" w:hAnsi="Verdana" w:cs="Verdana"/>
          <w:sz w:val="20"/>
          <w:szCs w:val="20"/>
        </w:rPr>
        <w:t>G(</w:t>
      </w:r>
      <w:proofErr w:type="gramEnd"/>
      <w:r>
        <w:rPr>
          <w:rFonts w:ascii="Verdana" w:hAnsi="Verdana" w:cs="Verdana"/>
          <w:sz w:val="20"/>
          <w:szCs w:val="20"/>
        </w:rPr>
        <w:t>4) of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the 1990 Act?</w:t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9F2E39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>Yes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Does the area overlap with </w:t>
      </w:r>
      <w:proofErr w:type="gramStart"/>
      <w:r>
        <w:rPr>
          <w:rFonts w:ascii="Verdana" w:hAnsi="Verdana" w:cs="Verdana"/>
          <w:sz w:val="20"/>
          <w:szCs w:val="20"/>
        </w:rPr>
        <w:t>another</w:t>
      </w:r>
      <w:proofErr w:type="gramEnd"/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designated area (section 61</w:t>
      </w:r>
      <w:proofErr w:type="gramStart"/>
      <w:r>
        <w:rPr>
          <w:rFonts w:ascii="Verdana" w:hAnsi="Verdana" w:cs="Verdana"/>
          <w:sz w:val="20"/>
          <w:szCs w:val="20"/>
        </w:rPr>
        <w:t>G(</w:t>
      </w:r>
      <w:proofErr w:type="gramEnd"/>
      <w:r>
        <w:rPr>
          <w:rFonts w:ascii="Verdana" w:hAnsi="Verdana" w:cs="Verdana"/>
          <w:sz w:val="20"/>
          <w:szCs w:val="20"/>
        </w:rPr>
        <w:t>7))?</w:t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9F2E39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>No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For joint area application, are all relevant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bodies included as per section 61</w:t>
      </w:r>
      <w:proofErr w:type="gramStart"/>
      <w:r>
        <w:rPr>
          <w:rFonts w:ascii="Verdana" w:hAnsi="Verdana" w:cs="Verdana"/>
          <w:sz w:val="20"/>
          <w:szCs w:val="20"/>
        </w:rPr>
        <w:t>F(</w:t>
      </w:r>
      <w:proofErr w:type="gramEnd"/>
      <w:r>
        <w:rPr>
          <w:rFonts w:ascii="Verdana" w:hAnsi="Verdana" w:cs="Verdana"/>
          <w:sz w:val="20"/>
          <w:szCs w:val="20"/>
        </w:rPr>
        <w:t>2) of</w:t>
      </w:r>
      <w:r w:rsidR="00460BA1">
        <w:rPr>
          <w:rFonts w:ascii="Verdana" w:hAnsi="Verdana" w:cs="Verdana"/>
          <w:sz w:val="20"/>
          <w:szCs w:val="20"/>
        </w:rPr>
        <w:t xml:space="preserve"> 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the 1990 Act?</w:t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9F2E39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>Not applicable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Were any comments received during the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consultation period?</w:t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ab/>
      </w:r>
      <w:r w:rsidR="009F2E39">
        <w:rPr>
          <w:rFonts w:ascii="Verdana" w:hAnsi="Verdana" w:cs="Verdana"/>
          <w:sz w:val="20"/>
          <w:szCs w:val="20"/>
        </w:rPr>
        <w:tab/>
      </w:r>
      <w:r w:rsidR="00460BA1">
        <w:rPr>
          <w:rFonts w:ascii="Verdana" w:hAnsi="Verdana" w:cs="Verdana"/>
          <w:sz w:val="20"/>
          <w:szCs w:val="20"/>
        </w:rPr>
        <w:t>No</w:t>
      </w:r>
    </w:p>
    <w:p w:rsidR="00F401EC" w:rsidRDefault="00460BA1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Summary of comments received</w:t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="009F2E39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>Not applicable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Are any modifications required to this </w:t>
      </w:r>
      <w:proofErr w:type="gramStart"/>
      <w:r>
        <w:rPr>
          <w:rFonts w:ascii="Verdana" w:hAnsi="Verdana" w:cs="Verdana"/>
          <w:sz w:val="20"/>
          <w:szCs w:val="20"/>
        </w:rPr>
        <w:t>or</w:t>
      </w:r>
      <w:proofErr w:type="gramEnd"/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any adjoining neighbourhood area as per</w:t>
      </w:r>
    </w:p>
    <w:p w:rsidR="00F401EC" w:rsidRDefault="00F401EC" w:rsidP="009F2E39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section 61</w:t>
      </w:r>
      <w:proofErr w:type="gramStart"/>
      <w:r>
        <w:rPr>
          <w:rFonts w:ascii="Verdana" w:hAnsi="Verdana" w:cs="Verdana"/>
          <w:sz w:val="20"/>
          <w:szCs w:val="20"/>
        </w:rPr>
        <w:t>G(</w:t>
      </w:r>
      <w:proofErr w:type="gramEnd"/>
      <w:r>
        <w:rPr>
          <w:rFonts w:ascii="Verdana" w:hAnsi="Verdana" w:cs="Verdana"/>
          <w:sz w:val="20"/>
          <w:szCs w:val="20"/>
        </w:rPr>
        <w:t>6) of the 1990 Act?</w:t>
      </w:r>
      <w:r w:rsidR="00460BA1">
        <w:rPr>
          <w:rFonts w:ascii="Verdana" w:hAnsi="Verdana" w:cs="Verdana"/>
          <w:sz w:val="20"/>
          <w:szCs w:val="20"/>
        </w:rPr>
        <w:tab/>
        <w:t xml:space="preserve">Yes, this Neighbourhood Are supersedes the </w:t>
      </w:r>
      <w:r w:rsidR="00E55A32">
        <w:rPr>
          <w:rFonts w:ascii="Verdana" w:hAnsi="Verdana" w:cs="Verdana"/>
          <w:sz w:val="20"/>
          <w:szCs w:val="20"/>
        </w:rPr>
        <w:t>old Burton Green Neighbourhood area designated on 5 November 2014</w:t>
      </w:r>
    </w:p>
    <w:p w:rsidR="00E55A32" w:rsidRDefault="00E55A32" w:rsidP="00E55A32">
      <w:pPr>
        <w:autoSpaceDE w:val="0"/>
        <w:autoSpaceDN w:val="0"/>
        <w:adjustRightInd w:val="0"/>
        <w:spacing w:after="0" w:line="240" w:lineRule="auto"/>
        <w:ind w:left="4320" w:hanging="4320"/>
        <w:rPr>
          <w:rFonts w:ascii="Verdana" w:hAnsi="Verdana" w:cs="Verdana"/>
          <w:sz w:val="20"/>
          <w:szCs w:val="20"/>
        </w:rPr>
      </w:pP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>
        <w:rPr>
          <w:rFonts w:ascii="Verdana-Bold" w:hAnsi="Verdana-Bold" w:cs="Verdana-Bold"/>
          <w:b/>
          <w:bCs/>
          <w:sz w:val="24"/>
          <w:szCs w:val="24"/>
        </w:rPr>
        <w:t>Decision under Regulation 7 of the Neighbourhood Planning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>
        <w:rPr>
          <w:rFonts w:ascii="Verdana-Bold" w:hAnsi="Verdana-Bold" w:cs="Verdana-Bold"/>
          <w:b/>
          <w:bCs/>
          <w:sz w:val="24"/>
          <w:szCs w:val="24"/>
        </w:rPr>
        <w:t>(General) Regulations 2012:</w:t>
      </w:r>
    </w:p>
    <w:p w:rsidR="00F401EC" w:rsidRDefault="00F401EC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The application for the designation of the area defined by the boundaries of </w:t>
      </w:r>
      <w:r w:rsidR="00E55A32">
        <w:rPr>
          <w:rFonts w:ascii="Verdana" w:hAnsi="Verdana" w:cs="Verdana"/>
          <w:sz w:val="20"/>
          <w:szCs w:val="20"/>
        </w:rPr>
        <w:t>Burton Green Par</w:t>
      </w:r>
      <w:r>
        <w:rPr>
          <w:rFonts w:ascii="Verdana" w:hAnsi="Verdana" w:cs="Verdana"/>
          <w:sz w:val="20"/>
          <w:szCs w:val="20"/>
        </w:rPr>
        <w:t>ish Council, as shown on the map overleaf, as a</w:t>
      </w:r>
      <w:r w:rsidR="00E55A32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Neighbourhood Area for the purpose of neighbourhood planning is </w:t>
      </w:r>
      <w:r>
        <w:rPr>
          <w:rFonts w:ascii="Verdana-Bold" w:hAnsi="Verdana-Bold" w:cs="Verdana-Bold"/>
          <w:b/>
          <w:bCs/>
          <w:sz w:val="20"/>
          <w:szCs w:val="20"/>
        </w:rPr>
        <w:t>APPROVED</w:t>
      </w:r>
      <w:r>
        <w:rPr>
          <w:rFonts w:ascii="Verdana" w:hAnsi="Verdana" w:cs="Verdana"/>
          <w:sz w:val="20"/>
          <w:szCs w:val="20"/>
        </w:rPr>
        <w:t>.</w:t>
      </w:r>
    </w:p>
    <w:p w:rsidR="00E55A32" w:rsidRDefault="00E55A32" w:rsidP="00F401E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880B8C" w:rsidRDefault="00E55A32" w:rsidP="00F401EC">
      <w:pPr>
        <w:rPr>
          <w:rFonts w:ascii="Verdana-Bold" w:hAnsi="Verdana-Bold" w:cs="Verdana-Bold"/>
          <w:b/>
          <w:bCs/>
          <w:sz w:val="20"/>
          <w:szCs w:val="20"/>
        </w:rPr>
      </w:pPr>
      <w:r>
        <w:rPr>
          <w:rFonts w:ascii="Verdana-Bold" w:hAnsi="Verdana-Bold" w:cs="Verdana-Bold"/>
          <w:b/>
          <w:bCs/>
          <w:sz w:val="20"/>
          <w:szCs w:val="20"/>
        </w:rPr>
        <w:t>Date of Decision: 3</w:t>
      </w:r>
      <w:r w:rsidRPr="00E55A32">
        <w:rPr>
          <w:rFonts w:ascii="Verdana-Bold" w:hAnsi="Verdana-Bold" w:cs="Verdana-Bold"/>
          <w:b/>
          <w:bCs/>
          <w:sz w:val="20"/>
          <w:szCs w:val="20"/>
          <w:vertAlign w:val="superscript"/>
        </w:rPr>
        <w:t>rd</w:t>
      </w:r>
      <w:r>
        <w:rPr>
          <w:rFonts w:ascii="Verdana-Bold" w:hAnsi="Verdana-Bold" w:cs="Verdana-Bold"/>
          <w:b/>
          <w:bCs/>
          <w:sz w:val="20"/>
          <w:szCs w:val="20"/>
        </w:rPr>
        <w:t xml:space="preserve"> September 2019</w:t>
      </w:r>
    </w:p>
    <w:p w:rsidR="00F401EC" w:rsidRDefault="00F401EC" w:rsidP="00F401EC"/>
    <w:p w:rsidR="00E55A32" w:rsidRDefault="00E55A32" w:rsidP="00F401EC"/>
    <w:p w:rsidR="00E55A32" w:rsidRDefault="00E55A32" w:rsidP="00F401EC"/>
    <w:p w:rsidR="00E55A32" w:rsidRDefault="00E55A32" w:rsidP="00F401EC"/>
    <w:p w:rsidR="00E55A32" w:rsidRDefault="00E55A32" w:rsidP="00F401EC"/>
    <w:p w:rsidR="00E55A32" w:rsidRDefault="00E55A32" w:rsidP="00F401EC"/>
    <w:p w:rsidR="00E55A32" w:rsidRDefault="00E55A32">
      <w:pPr>
        <w:sectPr w:rsidR="00E55A32" w:rsidSect="00E55A3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:rsidR="00E55A32" w:rsidRDefault="00E55A32" w:rsidP="00F401EC">
      <w:r w:rsidRPr="00E55A32"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30.25pt" o:ole="">
            <v:imagedata r:id="rId5" o:title=""/>
          </v:shape>
          <o:OLEObject Type="Embed" ProgID="AcroExch.Document.DC" ShapeID="_x0000_i1025" DrawAspect="Content" ObjectID="_1629090732" r:id="rId6"/>
        </w:object>
      </w:r>
    </w:p>
    <w:sectPr w:rsidR="00E55A32" w:rsidSect="00E55A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1EC"/>
    <w:rsid w:val="00041E4C"/>
    <w:rsid w:val="00460BA1"/>
    <w:rsid w:val="00917466"/>
    <w:rsid w:val="00976CB5"/>
    <w:rsid w:val="009F2E39"/>
    <w:rsid w:val="00BC64B5"/>
    <w:rsid w:val="00E55A32"/>
    <w:rsid w:val="00F4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2FDBEB1-78A3-42AF-B487-E70495A48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1163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District Council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Hale</dc:creator>
  <cp:keywords/>
  <dc:description/>
  <cp:lastModifiedBy>David Butler</cp:lastModifiedBy>
  <cp:revision>2</cp:revision>
  <dcterms:created xsi:type="dcterms:W3CDTF">2019-09-04T07:26:00Z</dcterms:created>
  <dcterms:modified xsi:type="dcterms:W3CDTF">2019-09-04T07:26:00Z</dcterms:modified>
</cp:coreProperties>
</file>