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80" w:rsidRDefault="00D60D80" w:rsidP="00D60D80">
      <w:pPr>
        <w:rPr>
          <w:color w:val="1F497D"/>
          <w:sz w:val="28"/>
          <w:szCs w:val="28"/>
        </w:rPr>
      </w:pPr>
      <w:bookmarkStart w:id="0" w:name="_GoBack"/>
      <w:bookmarkEnd w:id="0"/>
      <w:r>
        <w:rPr>
          <w:color w:val="1F497D"/>
          <w:sz w:val="28"/>
          <w:szCs w:val="28"/>
        </w:rPr>
        <w:t>Please note:</w:t>
      </w:r>
    </w:p>
    <w:p w:rsidR="00D60D80" w:rsidRDefault="00D60D80" w:rsidP="00D60D80">
      <w:pPr>
        <w:rPr>
          <w:color w:val="1F497D"/>
          <w:sz w:val="28"/>
          <w:szCs w:val="28"/>
        </w:rPr>
      </w:pPr>
    </w:p>
    <w:p w:rsidR="00D60D80" w:rsidRPr="00D60D80" w:rsidRDefault="00D60D80" w:rsidP="00D60D80">
      <w:pPr>
        <w:rPr>
          <w:color w:val="1F497D"/>
          <w:sz w:val="28"/>
          <w:szCs w:val="28"/>
        </w:rPr>
      </w:pPr>
      <w:r w:rsidRPr="00D60D80">
        <w:rPr>
          <w:color w:val="1F497D"/>
          <w:sz w:val="28"/>
          <w:szCs w:val="28"/>
        </w:rPr>
        <w:t>Updated figures relating to page 6 Figure 1, as provided by the University of Warwick 24.01.2019</w:t>
      </w:r>
    </w:p>
    <w:p w:rsidR="00D60D80" w:rsidRDefault="00D60D80" w:rsidP="00D60D80">
      <w:pPr>
        <w:rPr>
          <w:color w:val="1F497D"/>
        </w:rPr>
      </w:pPr>
    </w:p>
    <w:p w:rsidR="00D60D80" w:rsidRDefault="00D60D80" w:rsidP="00D60D80">
      <w:pPr>
        <w:rPr>
          <w:color w:val="1F497D"/>
        </w:rPr>
      </w:pPr>
      <w:r>
        <w:rPr>
          <w:color w:val="1F497D"/>
        </w:rPr>
        <w:t>These latest figures</w:t>
      </w:r>
      <w:r w:rsidR="00357C05">
        <w:rPr>
          <w:color w:val="1F497D"/>
        </w:rPr>
        <w:t xml:space="preserve"> </w:t>
      </w:r>
      <w:r w:rsidR="00FE5FD2">
        <w:rPr>
          <w:color w:val="1F497D"/>
        </w:rPr>
        <w:t>(or any further update received)</w:t>
      </w:r>
      <w:r>
        <w:rPr>
          <w:color w:val="1F497D"/>
        </w:rPr>
        <w:t xml:space="preserve"> will replace those given in the consultation document before the final version is considered for adoption to ensure the information is as contemporary as possible</w:t>
      </w:r>
    </w:p>
    <w:p w:rsidR="00D60D80" w:rsidRDefault="00D60D80" w:rsidP="00D60D80">
      <w:pPr>
        <w:rPr>
          <w:color w:val="1F497D"/>
        </w:rPr>
      </w:pPr>
    </w:p>
    <w:tbl>
      <w:tblPr>
        <w:tblW w:w="14808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979"/>
        <w:gridCol w:w="1004"/>
        <w:gridCol w:w="960"/>
        <w:gridCol w:w="960"/>
        <w:gridCol w:w="1147"/>
        <w:gridCol w:w="1147"/>
        <w:gridCol w:w="1147"/>
        <w:gridCol w:w="1146"/>
        <w:gridCol w:w="1146"/>
        <w:gridCol w:w="1146"/>
        <w:gridCol w:w="1146"/>
        <w:gridCol w:w="1146"/>
        <w:gridCol w:w="1146"/>
      </w:tblGrid>
      <w:tr w:rsidR="00D60D80" w:rsidTr="00D60D80">
        <w:trPr>
          <w:trHeight w:val="145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GB"/>
              </w:rPr>
              <w:t>FULL-TIME STUDENTS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0D80" w:rsidTr="00D60D80">
        <w:trPr>
          <w:trHeight w:val="11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7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WDC Student Housing Strategy</w:t>
            </w:r>
          </w:p>
        </w:tc>
        <w:tc>
          <w:tcPr>
            <w:tcW w:w="8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FOI requests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0D80" w:rsidTr="00D60D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2015/16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19,195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21,613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171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These are calculated from HESA returns total number of Full-time UG and PG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</w:p>
        </w:tc>
      </w:tr>
      <w:tr w:rsidR="00D60D80" w:rsidTr="00D60D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2016/17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19,955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21,124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6879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Matches FOI request from 2017 - current full-time students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0D80" w:rsidTr="00D60D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2017/18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21,515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21,515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0317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Old projection from 2017 FOI request - current full time students now updated as 21,785 in latest FOI request 2018</w:t>
            </w:r>
          </w:p>
        </w:tc>
      </w:tr>
      <w:tr w:rsidR="00D60D80" w:rsidTr="00D60D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2018/19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22,072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21,785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8025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Old projections from 2017 FOI request now updated in 2018 FOI request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0D80" w:rsidTr="00D60D80">
        <w:trPr>
          <w:trHeight w:val="300"/>
        </w:trPr>
        <w:tc>
          <w:tcPr>
            <w:tcW w:w="257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Projected: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0D80" w:rsidTr="00D60D80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2019/20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22,534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22,550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0D80" w:rsidTr="00D60D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2020/21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22,818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23,221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0D80" w:rsidTr="00D60D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2021/22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23,597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0D80" w:rsidRDefault="00D60D8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:rsidR="00880B8C" w:rsidRDefault="00D824BD"/>
    <w:sectPr w:rsidR="00880B8C" w:rsidSect="00D60D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80"/>
    <w:rsid w:val="00041E4C"/>
    <w:rsid w:val="00357C05"/>
    <w:rsid w:val="00976CB5"/>
    <w:rsid w:val="00D60D80"/>
    <w:rsid w:val="00D824BD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39025-2761-4EB7-91B3-CD95ADB6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Coldicott</dc:creator>
  <cp:keywords/>
  <dc:description/>
  <cp:lastModifiedBy>David Butler</cp:lastModifiedBy>
  <cp:revision>2</cp:revision>
  <dcterms:created xsi:type="dcterms:W3CDTF">2019-01-28T09:49:00Z</dcterms:created>
  <dcterms:modified xsi:type="dcterms:W3CDTF">2019-01-28T09:49:00Z</dcterms:modified>
</cp:coreProperties>
</file>