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9D" w:rsidRPr="003059F0" w:rsidRDefault="002B3F9D" w:rsidP="00A53CE4">
      <w:pPr>
        <w:spacing w:after="0"/>
        <w:rPr>
          <w:b/>
          <w:sz w:val="32"/>
          <w:szCs w:val="32"/>
        </w:rPr>
      </w:pPr>
      <w:r w:rsidRPr="003059F0">
        <w:rPr>
          <w:b/>
          <w:sz w:val="32"/>
          <w:szCs w:val="32"/>
        </w:rPr>
        <w:t>Community Infrastructure Levy (CIL) - what counts as Chargeable Area?</w:t>
      </w:r>
    </w:p>
    <w:p w:rsidR="00A53CE4" w:rsidRPr="00D37984" w:rsidRDefault="00A53CE4" w:rsidP="00A53CE4">
      <w:pPr>
        <w:spacing w:after="0"/>
        <w:rPr>
          <w:b/>
          <w:sz w:val="16"/>
          <w:szCs w:val="16"/>
        </w:rPr>
      </w:pPr>
    </w:p>
    <w:p w:rsidR="002B3F9D" w:rsidRDefault="002B3F9D" w:rsidP="00A53CE4">
      <w:pPr>
        <w:spacing w:after="0"/>
        <w:rPr>
          <w:b/>
          <w:sz w:val="28"/>
          <w:szCs w:val="28"/>
        </w:rPr>
      </w:pPr>
      <w:r>
        <w:rPr>
          <w:b/>
          <w:sz w:val="28"/>
          <w:szCs w:val="28"/>
        </w:rPr>
        <w:t xml:space="preserve">Gross Internal Area (GIA) </w:t>
      </w:r>
      <w:r w:rsidR="00A53CE4">
        <w:rPr>
          <w:b/>
          <w:sz w:val="28"/>
          <w:szCs w:val="28"/>
        </w:rPr>
        <w:t>–</w:t>
      </w:r>
      <w:r>
        <w:rPr>
          <w:b/>
          <w:sz w:val="28"/>
          <w:szCs w:val="28"/>
        </w:rPr>
        <w:t xml:space="preserve"> definition</w:t>
      </w:r>
    </w:p>
    <w:p w:rsidR="00A53CE4" w:rsidRPr="00D37984" w:rsidRDefault="00A53CE4" w:rsidP="00A53CE4">
      <w:pPr>
        <w:spacing w:after="0"/>
        <w:rPr>
          <w:b/>
          <w:sz w:val="16"/>
          <w:szCs w:val="16"/>
        </w:rPr>
      </w:pPr>
    </w:p>
    <w:p w:rsidR="002B3F9D" w:rsidRPr="00D37984" w:rsidRDefault="002B3F9D" w:rsidP="00A53CE4">
      <w:pPr>
        <w:spacing w:after="0"/>
        <w:rPr>
          <w:sz w:val="24"/>
          <w:szCs w:val="24"/>
        </w:rPr>
      </w:pPr>
      <w:r w:rsidRPr="00D37984">
        <w:rPr>
          <w:sz w:val="24"/>
          <w:szCs w:val="24"/>
        </w:rPr>
        <w:t xml:space="preserve">CIL liability is based on the “chargeable area” which is calculated using the formulas set out in Regulation 40 of the CIL Regulations 2010 (as amended). These require the measurement of the Gross Internal Area (GIA) </w:t>
      </w:r>
      <w:proofErr w:type="spellStart"/>
      <w:r w:rsidRPr="00D37984">
        <w:rPr>
          <w:sz w:val="24"/>
          <w:szCs w:val="24"/>
        </w:rPr>
        <w:t>floorspace</w:t>
      </w:r>
      <w:proofErr w:type="spellEnd"/>
      <w:r w:rsidRPr="00D37984">
        <w:rPr>
          <w:sz w:val="24"/>
          <w:szCs w:val="24"/>
        </w:rPr>
        <w:t xml:space="preserve"> of the proposed CIL liable development and the GIA </w:t>
      </w:r>
      <w:proofErr w:type="spellStart"/>
      <w:r w:rsidRPr="00D37984">
        <w:rPr>
          <w:sz w:val="24"/>
          <w:szCs w:val="24"/>
        </w:rPr>
        <w:t>floorspace</w:t>
      </w:r>
      <w:proofErr w:type="spellEnd"/>
      <w:r w:rsidRPr="00D37984">
        <w:rPr>
          <w:sz w:val="24"/>
          <w:szCs w:val="24"/>
        </w:rPr>
        <w:t xml:space="preserve"> of any existing ‘in-use’ building</w:t>
      </w:r>
      <w:r w:rsidR="00A53CE4" w:rsidRPr="00D37984">
        <w:rPr>
          <w:sz w:val="24"/>
          <w:szCs w:val="24"/>
        </w:rPr>
        <w:t>*</w:t>
      </w:r>
      <w:r w:rsidRPr="00D37984">
        <w:rPr>
          <w:sz w:val="24"/>
          <w:szCs w:val="24"/>
        </w:rPr>
        <w:t xml:space="preserve"> which is to be demolished.</w:t>
      </w:r>
    </w:p>
    <w:p w:rsidR="00A53CE4" w:rsidRPr="00D37984" w:rsidRDefault="00A53CE4" w:rsidP="00A53CE4">
      <w:pPr>
        <w:spacing w:after="0"/>
        <w:rPr>
          <w:sz w:val="16"/>
          <w:szCs w:val="16"/>
        </w:rPr>
      </w:pPr>
    </w:p>
    <w:p w:rsidR="002B3F9D" w:rsidRPr="00D37984" w:rsidRDefault="002B3F9D" w:rsidP="00A53CE4">
      <w:pPr>
        <w:spacing w:after="0"/>
        <w:rPr>
          <w:sz w:val="24"/>
          <w:szCs w:val="24"/>
        </w:rPr>
      </w:pPr>
      <w:r w:rsidRPr="00D37984">
        <w:rPr>
          <w:sz w:val="24"/>
          <w:szCs w:val="24"/>
        </w:rPr>
        <w:t>The definition of GIA for the purposes of calculating CIL is not specified in the CIL Regulations, but the generally accepted method of calculation of GIA is set out in the RICS Code of Measuring Practice 6th Edition (2007)(the RICS Code):</w:t>
      </w:r>
    </w:p>
    <w:p w:rsidR="00A53CE4" w:rsidRPr="003059F0" w:rsidRDefault="00A53CE4" w:rsidP="00A53CE4">
      <w:pPr>
        <w:spacing w:after="0"/>
        <w:rPr>
          <w:sz w:val="16"/>
          <w:szCs w:val="16"/>
        </w:rPr>
      </w:pPr>
    </w:p>
    <w:p w:rsidR="002B3F9D" w:rsidRPr="00D37984" w:rsidRDefault="002B3F9D" w:rsidP="00A53CE4">
      <w:pPr>
        <w:spacing w:after="0"/>
        <w:rPr>
          <w:sz w:val="24"/>
          <w:szCs w:val="24"/>
        </w:rPr>
      </w:pPr>
      <w:r w:rsidRPr="00D37984">
        <w:rPr>
          <w:sz w:val="24"/>
          <w:szCs w:val="24"/>
        </w:rPr>
        <w:t>GIA is the area of a building measured to the internal face of the perimeter walls at each floor level and includes:</w:t>
      </w:r>
    </w:p>
    <w:p w:rsidR="00A53CE4" w:rsidRPr="00D37984" w:rsidRDefault="00A53CE4" w:rsidP="00A53CE4">
      <w:pPr>
        <w:spacing w:after="0"/>
        <w:rPr>
          <w:sz w:val="16"/>
          <w:szCs w:val="16"/>
        </w:rPr>
      </w:pP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Areas occupied b</w:t>
      </w:r>
      <w:r w:rsidR="008321BF">
        <w:rPr>
          <w:sz w:val="24"/>
          <w:szCs w:val="24"/>
        </w:rPr>
        <w:t>y internal walls and partitions</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Columns, piers, chimney breasts, stairwells, lift-wells, other internal projection</w:t>
      </w:r>
      <w:r w:rsidR="008321BF">
        <w:rPr>
          <w:sz w:val="24"/>
          <w:szCs w:val="24"/>
        </w:rPr>
        <w:t>s, vertical ducts, and the like</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Atria and entrance halls, with clear height abo</w:t>
      </w:r>
      <w:r w:rsidR="008321BF">
        <w:rPr>
          <w:sz w:val="24"/>
          <w:szCs w:val="24"/>
        </w:rPr>
        <w:t>ve, measured at base level only</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Internal open-sided ba</w:t>
      </w:r>
      <w:r w:rsidR="008321BF">
        <w:rPr>
          <w:sz w:val="24"/>
          <w:szCs w:val="24"/>
        </w:rPr>
        <w:t>lconies, walkways, and the like</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Structural, raked or stepped floors are to be treated as a le</w:t>
      </w:r>
      <w:r w:rsidR="008321BF">
        <w:rPr>
          <w:sz w:val="24"/>
          <w:szCs w:val="24"/>
        </w:rPr>
        <w:t>vel floor measured horizontally</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Horizontal floors, with permanent access, below stru</w:t>
      </w:r>
      <w:r w:rsidR="008321BF">
        <w:rPr>
          <w:sz w:val="24"/>
          <w:szCs w:val="24"/>
        </w:rPr>
        <w:t>ctural, raked or stepped floors</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Corridors of a permanent essential nature (e.g.</w:t>
      </w:r>
      <w:r w:rsidR="008321BF">
        <w:rPr>
          <w:sz w:val="24"/>
          <w:szCs w:val="24"/>
        </w:rPr>
        <w:t xml:space="preserve"> fire corridors, smoke lobbies)</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Mezzanine fl</w:t>
      </w:r>
      <w:r w:rsidR="008321BF">
        <w:rPr>
          <w:sz w:val="24"/>
          <w:szCs w:val="24"/>
        </w:rPr>
        <w:t>oor areas with permanent access</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Lift rooms, plant rooms, fuel stores, tank rooms, which are housed in a covered structure or a permanent nature, whether o</w:t>
      </w:r>
      <w:r w:rsidR="008321BF">
        <w:rPr>
          <w:sz w:val="24"/>
          <w:szCs w:val="24"/>
        </w:rPr>
        <w:t>r not above the main roof level</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Service accommodation such as toilets, toiler lobbies, bathrooms, showers, changing room</w:t>
      </w:r>
      <w:r w:rsidR="008321BF">
        <w:rPr>
          <w:sz w:val="24"/>
          <w:szCs w:val="24"/>
        </w:rPr>
        <w:t>s, cleaner’s rooms and the like</w:t>
      </w:r>
    </w:p>
    <w:p w:rsidR="002B3F9D" w:rsidRPr="00D37984" w:rsidRDefault="008321BF" w:rsidP="00D37984">
      <w:pPr>
        <w:pStyle w:val="ListParagraph"/>
        <w:numPr>
          <w:ilvl w:val="0"/>
          <w:numId w:val="3"/>
        </w:numPr>
        <w:spacing w:after="0"/>
        <w:ind w:left="714" w:hanging="357"/>
        <w:rPr>
          <w:sz w:val="24"/>
          <w:szCs w:val="24"/>
        </w:rPr>
      </w:pPr>
      <w:r>
        <w:rPr>
          <w:sz w:val="24"/>
          <w:szCs w:val="24"/>
        </w:rPr>
        <w:t>Projection rooms</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 xml:space="preserve">Voids over </w:t>
      </w:r>
      <w:r w:rsidR="00531036" w:rsidRPr="00D37984">
        <w:rPr>
          <w:sz w:val="24"/>
          <w:szCs w:val="24"/>
        </w:rPr>
        <w:t>stairwel</w:t>
      </w:r>
      <w:r w:rsidR="00531036">
        <w:rPr>
          <w:sz w:val="24"/>
          <w:szCs w:val="24"/>
        </w:rPr>
        <w:t>l</w:t>
      </w:r>
      <w:r w:rsidR="00531036" w:rsidRPr="00D37984">
        <w:rPr>
          <w:sz w:val="24"/>
          <w:szCs w:val="24"/>
        </w:rPr>
        <w:t>s</w:t>
      </w:r>
      <w:r w:rsidRPr="00D37984">
        <w:rPr>
          <w:sz w:val="24"/>
          <w:szCs w:val="24"/>
        </w:rPr>
        <w:t xml:space="preserve"> and lift shafts on upper floors</w:t>
      </w:r>
    </w:p>
    <w:p w:rsidR="002B3F9D" w:rsidRPr="00E41853" w:rsidRDefault="008321BF" w:rsidP="00E41853">
      <w:pPr>
        <w:pStyle w:val="ListParagraph"/>
        <w:numPr>
          <w:ilvl w:val="0"/>
          <w:numId w:val="3"/>
        </w:numPr>
        <w:spacing w:after="0"/>
        <w:ind w:left="714" w:hanging="357"/>
        <w:rPr>
          <w:sz w:val="24"/>
          <w:szCs w:val="24"/>
        </w:rPr>
      </w:pPr>
      <w:r>
        <w:rPr>
          <w:sz w:val="24"/>
          <w:szCs w:val="24"/>
        </w:rPr>
        <w:t>Loading bays</w:t>
      </w:r>
    </w:p>
    <w:p w:rsidR="002B3F9D" w:rsidRPr="00D37984" w:rsidRDefault="008321BF" w:rsidP="00D37984">
      <w:pPr>
        <w:pStyle w:val="ListParagraph"/>
        <w:numPr>
          <w:ilvl w:val="0"/>
          <w:numId w:val="3"/>
        </w:numPr>
        <w:spacing w:after="0"/>
        <w:ind w:left="714" w:hanging="357"/>
        <w:rPr>
          <w:sz w:val="24"/>
          <w:szCs w:val="24"/>
        </w:rPr>
      </w:pPr>
      <w:r>
        <w:rPr>
          <w:sz w:val="24"/>
          <w:szCs w:val="24"/>
        </w:rPr>
        <w:t>Pavement vaults</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Garages</w:t>
      </w:r>
    </w:p>
    <w:p w:rsidR="002B3F9D" w:rsidRPr="00D37984" w:rsidRDefault="002B3F9D" w:rsidP="00D37984">
      <w:pPr>
        <w:pStyle w:val="ListParagraph"/>
        <w:numPr>
          <w:ilvl w:val="0"/>
          <w:numId w:val="3"/>
        </w:numPr>
        <w:spacing w:after="0"/>
        <w:ind w:left="714" w:hanging="357"/>
        <w:rPr>
          <w:sz w:val="24"/>
          <w:szCs w:val="24"/>
        </w:rPr>
      </w:pPr>
      <w:r w:rsidRPr="00D37984">
        <w:rPr>
          <w:sz w:val="24"/>
          <w:szCs w:val="24"/>
        </w:rPr>
        <w:t>Conservatories</w:t>
      </w:r>
    </w:p>
    <w:p w:rsidR="00D37984" w:rsidRPr="00D37984" w:rsidRDefault="00D37984" w:rsidP="00D37984">
      <w:pPr>
        <w:spacing w:after="0"/>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1D5E40FD" wp14:editId="43EFF0CB">
                <wp:simplePos x="0" y="0"/>
                <wp:positionH relativeFrom="column">
                  <wp:posOffset>344170</wp:posOffset>
                </wp:positionH>
                <wp:positionV relativeFrom="paragraph">
                  <wp:posOffset>82550</wp:posOffset>
                </wp:positionV>
                <wp:extent cx="5343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AC5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6.5pt" to="44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" strokecolor="#4579b8 [3044]"/>
            </w:pict>
          </mc:Fallback>
        </mc:AlternateContent>
      </w:r>
    </w:p>
    <w:p w:rsidR="00A53CE4" w:rsidRDefault="00D37984" w:rsidP="00D37984">
      <w:pPr>
        <w:spacing w:after="0"/>
        <w:rPr>
          <w:sz w:val="24"/>
          <w:szCs w:val="24"/>
        </w:rPr>
      </w:pPr>
      <w:r w:rsidRPr="00D37984">
        <w:rPr>
          <w:sz w:val="24"/>
          <w:szCs w:val="24"/>
        </w:rPr>
        <w:t>*</w:t>
      </w:r>
      <w:r>
        <w:rPr>
          <w:sz w:val="24"/>
          <w:szCs w:val="24"/>
        </w:rPr>
        <w:t xml:space="preserve">     I</w:t>
      </w:r>
      <w:r w:rsidRPr="00D37984">
        <w:rPr>
          <w:sz w:val="24"/>
          <w:szCs w:val="24"/>
        </w:rPr>
        <w:t xml:space="preserve">n order for it to pass the </w:t>
      </w:r>
      <w:r>
        <w:rPr>
          <w:sz w:val="24"/>
          <w:szCs w:val="24"/>
        </w:rPr>
        <w:t xml:space="preserve">‘in-use’ </w:t>
      </w:r>
      <w:r w:rsidR="008321BF">
        <w:rPr>
          <w:sz w:val="24"/>
          <w:szCs w:val="24"/>
        </w:rPr>
        <w:t>t</w:t>
      </w:r>
      <w:r w:rsidRPr="00D37984">
        <w:rPr>
          <w:sz w:val="24"/>
          <w:szCs w:val="24"/>
        </w:rPr>
        <w:t xml:space="preserve">est, evidence of its lawful use, for a period of at least six months without a break in the past three years (the </w:t>
      </w:r>
      <w:proofErr w:type="gramStart"/>
      <w:r w:rsidRPr="00D37984">
        <w:rPr>
          <w:sz w:val="24"/>
          <w:szCs w:val="24"/>
        </w:rPr>
        <w:t>three year</w:t>
      </w:r>
      <w:proofErr w:type="gramEnd"/>
      <w:r w:rsidRPr="00D37984">
        <w:rPr>
          <w:sz w:val="24"/>
          <w:szCs w:val="24"/>
        </w:rPr>
        <w:t xml:space="preserve"> period ending on the day planning permission first permits the development), needs to be provided.   </w:t>
      </w:r>
    </w:p>
    <w:p w:rsidR="00E41853" w:rsidRDefault="00E41853" w:rsidP="00D37984">
      <w:pPr>
        <w:spacing w:after="0"/>
        <w:rPr>
          <w:sz w:val="24"/>
          <w:szCs w:val="24"/>
        </w:rPr>
      </w:pPr>
    </w:p>
    <w:p w:rsidR="002B3F9D" w:rsidRPr="00D37984" w:rsidRDefault="002B3F9D" w:rsidP="008321BF">
      <w:pPr>
        <w:spacing w:after="0"/>
        <w:rPr>
          <w:sz w:val="24"/>
          <w:szCs w:val="24"/>
        </w:rPr>
      </w:pPr>
      <w:r w:rsidRPr="00D37984">
        <w:rPr>
          <w:sz w:val="24"/>
          <w:szCs w:val="24"/>
        </w:rPr>
        <w:lastRenderedPageBreak/>
        <w:t xml:space="preserve">For the purposes of calculating internal </w:t>
      </w:r>
      <w:proofErr w:type="spellStart"/>
      <w:r w:rsidRPr="00D37984">
        <w:rPr>
          <w:sz w:val="24"/>
          <w:szCs w:val="24"/>
        </w:rPr>
        <w:t>floorspace</w:t>
      </w:r>
      <w:proofErr w:type="spellEnd"/>
      <w:r w:rsidRPr="00D37984">
        <w:rPr>
          <w:sz w:val="24"/>
          <w:szCs w:val="24"/>
        </w:rPr>
        <w:t xml:space="preserve"> for CIL, and for the avoidance of doubt, the Council will also include in the calculation of GIA:</w:t>
      </w:r>
    </w:p>
    <w:p w:rsidR="00D37984" w:rsidRPr="008321BF" w:rsidRDefault="00D37984" w:rsidP="008321BF">
      <w:pPr>
        <w:spacing w:after="0"/>
        <w:rPr>
          <w:sz w:val="16"/>
          <w:szCs w:val="16"/>
        </w:rPr>
      </w:pPr>
    </w:p>
    <w:p w:rsidR="002B3F9D" w:rsidRPr="00D37984" w:rsidRDefault="002B3F9D" w:rsidP="008321BF">
      <w:pPr>
        <w:pStyle w:val="ListParagraph"/>
        <w:numPr>
          <w:ilvl w:val="0"/>
          <w:numId w:val="10"/>
        </w:numPr>
        <w:spacing w:after="0"/>
        <w:ind w:left="714" w:hanging="357"/>
        <w:rPr>
          <w:sz w:val="24"/>
          <w:szCs w:val="24"/>
        </w:rPr>
      </w:pPr>
      <w:r w:rsidRPr="00D37984">
        <w:rPr>
          <w:sz w:val="24"/>
          <w:szCs w:val="24"/>
        </w:rPr>
        <w:t>Structures, such as car ports with a solid roof even t</w:t>
      </w:r>
      <w:r w:rsidR="008321BF">
        <w:rPr>
          <w:sz w:val="24"/>
          <w:szCs w:val="24"/>
        </w:rPr>
        <w:t>hough one or more sides is open</w:t>
      </w:r>
    </w:p>
    <w:p w:rsidR="002B3F9D" w:rsidRPr="00D37984" w:rsidRDefault="002B3F9D" w:rsidP="008321BF">
      <w:pPr>
        <w:pStyle w:val="ListParagraph"/>
        <w:numPr>
          <w:ilvl w:val="0"/>
          <w:numId w:val="10"/>
        </w:numPr>
        <w:spacing w:after="0"/>
        <w:ind w:left="714" w:hanging="357"/>
        <w:rPr>
          <w:sz w:val="24"/>
          <w:szCs w:val="24"/>
        </w:rPr>
      </w:pPr>
      <w:r w:rsidRPr="00D37984">
        <w:rPr>
          <w:sz w:val="24"/>
          <w:szCs w:val="24"/>
        </w:rPr>
        <w:t>Porches on dwelling houses even thoug</w:t>
      </w:r>
      <w:r w:rsidR="008321BF">
        <w:rPr>
          <w:sz w:val="24"/>
          <w:szCs w:val="24"/>
        </w:rPr>
        <w:t>h the front or side may be open</w:t>
      </w:r>
    </w:p>
    <w:p w:rsidR="002B3F9D" w:rsidRPr="00D37984" w:rsidRDefault="008321BF" w:rsidP="008321BF">
      <w:pPr>
        <w:pStyle w:val="ListParagraph"/>
        <w:numPr>
          <w:ilvl w:val="0"/>
          <w:numId w:val="10"/>
        </w:numPr>
        <w:spacing w:after="0"/>
        <w:ind w:left="714" w:hanging="357"/>
        <w:rPr>
          <w:sz w:val="24"/>
          <w:szCs w:val="24"/>
        </w:rPr>
      </w:pPr>
      <w:r>
        <w:rPr>
          <w:sz w:val="24"/>
          <w:szCs w:val="24"/>
        </w:rPr>
        <w:t>Conservatories</w:t>
      </w:r>
    </w:p>
    <w:p w:rsidR="00D37984" w:rsidRDefault="002B3F9D" w:rsidP="008321BF">
      <w:pPr>
        <w:pStyle w:val="ListParagraph"/>
        <w:numPr>
          <w:ilvl w:val="0"/>
          <w:numId w:val="10"/>
        </w:numPr>
        <w:spacing w:after="0"/>
        <w:ind w:left="714" w:hanging="357"/>
        <w:rPr>
          <w:sz w:val="24"/>
          <w:szCs w:val="24"/>
        </w:rPr>
      </w:pPr>
      <w:r w:rsidRPr="00D37984">
        <w:rPr>
          <w:sz w:val="24"/>
          <w:szCs w:val="24"/>
        </w:rPr>
        <w:t>Basements, underground and covered car parking areas.</w:t>
      </w:r>
    </w:p>
    <w:p w:rsidR="008321BF" w:rsidRPr="00D37984" w:rsidRDefault="008321BF" w:rsidP="008321BF">
      <w:pPr>
        <w:pStyle w:val="ListParagraph"/>
        <w:spacing w:after="0"/>
        <w:ind w:left="714"/>
        <w:rPr>
          <w:sz w:val="24"/>
          <w:szCs w:val="24"/>
        </w:rPr>
      </w:pPr>
      <w:bookmarkStart w:id="0" w:name="_GoBack"/>
      <w:bookmarkEnd w:id="0"/>
    </w:p>
    <w:p w:rsidR="008321BF" w:rsidRDefault="008321BF" w:rsidP="008321BF">
      <w:pPr>
        <w:spacing w:after="0"/>
        <w:rPr>
          <w:sz w:val="24"/>
          <w:szCs w:val="24"/>
        </w:rPr>
      </w:pPr>
      <w:r w:rsidRPr="00D37984">
        <w:rPr>
          <w:sz w:val="24"/>
          <w:szCs w:val="24"/>
        </w:rPr>
        <w:t xml:space="preserve">The following are excluded from CIL liable </w:t>
      </w:r>
      <w:proofErr w:type="spellStart"/>
      <w:r w:rsidRPr="00D37984">
        <w:rPr>
          <w:sz w:val="24"/>
          <w:szCs w:val="24"/>
        </w:rPr>
        <w:t>floorspace</w:t>
      </w:r>
      <w:proofErr w:type="spellEnd"/>
      <w:r w:rsidRPr="00D37984">
        <w:rPr>
          <w:sz w:val="24"/>
          <w:szCs w:val="24"/>
        </w:rPr>
        <w:t>:</w:t>
      </w:r>
    </w:p>
    <w:p w:rsidR="008321BF" w:rsidRPr="008321BF" w:rsidRDefault="008321BF" w:rsidP="008321BF">
      <w:pPr>
        <w:spacing w:after="0"/>
        <w:rPr>
          <w:sz w:val="16"/>
          <w:szCs w:val="16"/>
        </w:rPr>
      </w:pPr>
    </w:p>
    <w:p w:rsidR="008321BF" w:rsidRPr="00D37984" w:rsidRDefault="008321BF" w:rsidP="008321BF">
      <w:pPr>
        <w:pStyle w:val="ListParagraph"/>
        <w:numPr>
          <w:ilvl w:val="0"/>
          <w:numId w:val="7"/>
        </w:numPr>
        <w:spacing w:after="0"/>
        <w:ind w:left="714" w:hanging="357"/>
        <w:rPr>
          <w:sz w:val="24"/>
          <w:szCs w:val="24"/>
        </w:rPr>
      </w:pPr>
      <w:r w:rsidRPr="00D37984">
        <w:rPr>
          <w:sz w:val="24"/>
          <w:szCs w:val="24"/>
        </w:rPr>
        <w:t>Perimeter wall thick</w:t>
      </w:r>
      <w:r>
        <w:rPr>
          <w:sz w:val="24"/>
          <w:szCs w:val="24"/>
        </w:rPr>
        <w:t>nesses and external projections</w:t>
      </w:r>
    </w:p>
    <w:p w:rsidR="008321BF" w:rsidRPr="00D37984" w:rsidRDefault="008321BF" w:rsidP="008321BF">
      <w:pPr>
        <w:pStyle w:val="ListParagraph"/>
        <w:numPr>
          <w:ilvl w:val="0"/>
          <w:numId w:val="7"/>
        </w:numPr>
        <w:spacing w:after="0"/>
        <w:ind w:left="714" w:hanging="357"/>
        <w:rPr>
          <w:sz w:val="24"/>
          <w:szCs w:val="24"/>
        </w:rPr>
      </w:pPr>
      <w:r w:rsidRPr="00D37984">
        <w:rPr>
          <w:sz w:val="24"/>
          <w:szCs w:val="24"/>
        </w:rPr>
        <w:t>Externa</w:t>
      </w:r>
      <w:r>
        <w:rPr>
          <w:sz w:val="24"/>
          <w:szCs w:val="24"/>
        </w:rPr>
        <w:t>l open-sided balconies, covered ways and fire escapes</w:t>
      </w:r>
    </w:p>
    <w:p w:rsidR="008321BF" w:rsidRPr="00D37984" w:rsidRDefault="008321BF" w:rsidP="008321BF">
      <w:pPr>
        <w:pStyle w:val="ListParagraph"/>
        <w:numPr>
          <w:ilvl w:val="0"/>
          <w:numId w:val="7"/>
        </w:numPr>
        <w:spacing w:after="0"/>
        <w:ind w:left="714" w:hanging="357"/>
        <w:rPr>
          <w:sz w:val="24"/>
          <w:szCs w:val="24"/>
        </w:rPr>
      </w:pPr>
      <w:r>
        <w:rPr>
          <w:sz w:val="24"/>
          <w:szCs w:val="24"/>
        </w:rPr>
        <w:t>Canopies</w:t>
      </w:r>
    </w:p>
    <w:p w:rsidR="008321BF" w:rsidRDefault="008321BF" w:rsidP="008321BF">
      <w:pPr>
        <w:pStyle w:val="ListParagraph"/>
        <w:numPr>
          <w:ilvl w:val="0"/>
          <w:numId w:val="7"/>
        </w:numPr>
        <w:spacing w:after="0"/>
        <w:ind w:left="714" w:hanging="357"/>
        <w:rPr>
          <w:sz w:val="24"/>
          <w:szCs w:val="24"/>
        </w:rPr>
      </w:pPr>
      <w:r w:rsidRPr="00D37984">
        <w:rPr>
          <w:sz w:val="24"/>
          <w:szCs w:val="24"/>
        </w:rPr>
        <w:t>Voids over or under str</w:t>
      </w:r>
      <w:r>
        <w:rPr>
          <w:sz w:val="24"/>
          <w:szCs w:val="24"/>
        </w:rPr>
        <w:t>uctural raked or stepped floors</w:t>
      </w:r>
    </w:p>
    <w:p w:rsidR="00E41853" w:rsidRPr="00D37984" w:rsidRDefault="00E41853" w:rsidP="008321BF">
      <w:pPr>
        <w:pStyle w:val="ListParagraph"/>
        <w:numPr>
          <w:ilvl w:val="0"/>
          <w:numId w:val="7"/>
        </w:numPr>
        <w:spacing w:after="0"/>
        <w:ind w:left="714" w:hanging="357"/>
        <w:rPr>
          <w:sz w:val="24"/>
          <w:szCs w:val="24"/>
        </w:rPr>
      </w:pPr>
      <w:r w:rsidRPr="00D37984">
        <w:rPr>
          <w:sz w:val="24"/>
          <w:szCs w:val="24"/>
        </w:rPr>
        <w:t>Areas with a headroom of less than 1.5m</w:t>
      </w:r>
      <w:r>
        <w:rPr>
          <w:sz w:val="24"/>
          <w:szCs w:val="24"/>
        </w:rPr>
        <w:t xml:space="preserve"> except under stairs</w:t>
      </w:r>
    </w:p>
    <w:p w:rsidR="008321BF" w:rsidRDefault="008321BF" w:rsidP="008321BF">
      <w:pPr>
        <w:pStyle w:val="ListParagraph"/>
        <w:numPr>
          <w:ilvl w:val="0"/>
          <w:numId w:val="7"/>
        </w:numPr>
        <w:spacing w:after="0"/>
        <w:ind w:left="714" w:hanging="357"/>
        <w:rPr>
          <w:sz w:val="24"/>
          <w:szCs w:val="24"/>
        </w:rPr>
      </w:pPr>
      <w:r w:rsidRPr="00D37984">
        <w:rPr>
          <w:sz w:val="24"/>
          <w:szCs w:val="24"/>
        </w:rPr>
        <w:t xml:space="preserve">Greenhouses, garden stores (sheds), fuel stores and the </w:t>
      </w:r>
      <w:r>
        <w:rPr>
          <w:sz w:val="24"/>
          <w:szCs w:val="24"/>
        </w:rPr>
        <w:t>like, in residential properties</w:t>
      </w:r>
    </w:p>
    <w:p w:rsidR="008321BF" w:rsidRPr="00D37984" w:rsidRDefault="008321BF" w:rsidP="008321BF">
      <w:pPr>
        <w:pStyle w:val="ListParagraph"/>
        <w:spacing w:after="0"/>
        <w:ind w:left="714"/>
        <w:rPr>
          <w:sz w:val="24"/>
          <w:szCs w:val="24"/>
        </w:rPr>
      </w:pPr>
    </w:p>
    <w:p w:rsidR="002B3F9D" w:rsidRPr="00D37984" w:rsidRDefault="002B3F9D" w:rsidP="008321BF">
      <w:pPr>
        <w:spacing w:after="0"/>
        <w:rPr>
          <w:sz w:val="24"/>
          <w:szCs w:val="24"/>
        </w:rPr>
      </w:pPr>
      <w:r w:rsidRPr="00D37984">
        <w:rPr>
          <w:sz w:val="24"/>
          <w:szCs w:val="24"/>
        </w:rPr>
        <w:t xml:space="preserve">The following will not be counted as internal </w:t>
      </w:r>
      <w:proofErr w:type="spellStart"/>
      <w:r w:rsidRPr="00D37984">
        <w:rPr>
          <w:sz w:val="24"/>
          <w:szCs w:val="24"/>
        </w:rPr>
        <w:t>floorspace</w:t>
      </w:r>
      <w:proofErr w:type="spellEnd"/>
      <w:r w:rsidRPr="00D37984">
        <w:rPr>
          <w:sz w:val="24"/>
          <w:szCs w:val="24"/>
        </w:rPr>
        <w:t xml:space="preserve"> for the purposes of CIL:</w:t>
      </w:r>
    </w:p>
    <w:p w:rsidR="00D37984" w:rsidRPr="008321BF" w:rsidRDefault="00D37984" w:rsidP="008321BF">
      <w:pPr>
        <w:spacing w:after="0"/>
        <w:rPr>
          <w:sz w:val="16"/>
          <w:szCs w:val="16"/>
        </w:rPr>
      </w:pPr>
    </w:p>
    <w:p w:rsidR="002B3F9D" w:rsidRPr="00D37984" w:rsidRDefault="002B3F9D" w:rsidP="008321BF">
      <w:pPr>
        <w:pStyle w:val="ListParagraph"/>
        <w:numPr>
          <w:ilvl w:val="0"/>
          <w:numId w:val="11"/>
        </w:numPr>
        <w:spacing w:after="0"/>
        <w:ind w:left="714" w:hanging="357"/>
        <w:rPr>
          <w:sz w:val="24"/>
          <w:szCs w:val="24"/>
        </w:rPr>
      </w:pPr>
      <w:r w:rsidRPr="00D37984">
        <w:rPr>
          <w:sz w:val="24"/>
          <w:szCs w:val="24"/>
        </w:rPr>
        <w:t>A p</w:t>
      </w:r>
      <w:r w:rsidR="008321BF">
        <w:rPr>
          <w:sz w:val="24"/>
          <w:szCs w:val="24"/>
        </w:rPr>
        <w:t>ergola with no roofing material</w:t>
      </w:r>
    </w:p>
    <w:p w:rsidR="00786332" w:rsidRPr="00E41853" w:rsidRDefault="002B3F9D" w:rsidP="008321BF">
      <w:pPr>
        <w:pStyle w:val="ListParagraph"/>
        <w:numPr>
          <w:ilvl w:val="0"/>
          <w:numId w:val="11"/>
        </w:numPr>
        <w:spacing w:after="0"/>
        <w:ind w:left="714" w:hanging="357"/>
        <w:rPr>
          <w:sz w:val="24"/>
          <w:szCs w:val="24"/>
        </w:rPr>
      </w:pPr>
      <w:r w:rsidRPr="00E41853">
        <w:rPr>
          <w:sz w:val="24"/>
          <w:szCs w:val="24"/>
        </w:rPr>
        <w:t>Free-standing solar panels</w:t>
      </w:r>
    </w:p>
    <w:sectPr w:rsidR="00786332" w:rsidRPr="00E41853" w:rsidSect="003059F0">
      <w:pgSz w:w="11906" w:h="16838"/>
      <w:pgMar w:top="1077" w:right="1440"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3F3"/>
    <w:multiLevelType w:val="hybridMultilevel"/>
    <w:tmpl w:val="78F4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95493"/>
    <w:multiLevelType w:val="hybridMultilevel"/>
    <w:tmpl w:val="6D0CF18E"/>
    <w:lvl w:ilvl="0" w:tplc="101C6F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4778F"/>
    <w:multiLevelType w:val="hybridMultilevel"/>
    <w:tmpl w:val="01D244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06A35"/>
    <w:multiLevelType w:val="hybridMultilevel"/>
    <w:tmpl w:val="0CBE4D56"/>
    <w:lvl w:ilvl="0" w:tplc="7916A6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10671"/>
    <w:multiLevelType w:val="hybridMultilevel"/>
    <w:tmpl w:val="7F706DB2"/>
    <w:lvl w:ilvl="0" w:tplc="C58866AE">
      <w:start w:val="1"/>
      <w:numFmt w:val="bullet"/>
      <w:lvlText w:val="-"/>
      <w:lvlJc w:val="left"/>
      <w:pPr>
        <w:ind w:left="1074" w:hanging="360"/>
      </w:pPr>
      <w:rPr>
        <w:rFonts w:ascii="Calibri" w:eastAsiaTheme="minorHAnsi" w:hAnsi="Calibri" w:cstheme="minorBid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15:restartNumberingAfterBreak="0">
    <w:nsid w:val="2FB85D24"/>
    <w:multiLevelType w:val="hybridMultilevel"/>
    <w:tmpl w:val="F03A8D7E"/>
    <w:lvl w:ilvl="0" w:tplc="101C6F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77F3C"/>
    <w:multiLevelType w:val="hybridMultilevel"/>
    <w:tmpl w:val="D564089A"/>
    <w:lvl w:ilvl="0" w:tplc="101C6F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134C0"/>
    <w:multiLevelType w:val="hybridMultilevel"/>
    <w:tmpl w:val="DB62C4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F3D39"/>
    <w:multiLevelType w:val="hybridMultilevel"/>
    <w:tmpl w:val="09625D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E4DF3"/>
    <w:multiLevelType w:val="hybridMultilevel"/>
    <w:tmpl w:val="12BE6CB2"/>
    <w:lvl w:ilvl="0" w:tplc="101C6F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921E1"/>
    <w:multiLevelType w:val="hybridMultilevel"/>
    <w:tmpl w:val="F23C95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4597C"/>
    <w:multiLevelType w:val="hybridMultilevel"/>
    <w:tmpl w:val="7722C4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82DBE"/>
    <w:multiLevelType w:val="hybridMultilevel"/>
    <w:tmpl w:val="2B1A11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8"/>
  </w:num>
  <w:num w:numId="5">
    <w:abstractNumId w:val="9"/>
  </w:num>
  <w:num w:numId="6">
    <w:abstractNumId w:val="6"/>
  </w:num>
  <w:num w:numId="7">
    <w:abstractNumId w:val="7"/>
  </w:num>
  <w:num w:numId="8">
    <w:abstractNumId w:val="10"/>
  </w:num>
  <w:num w:numId="9">
    <w:abstractNumId w:val="5"/>
  </w:num>
  <w:num w:numId="10">
    <w:abstractNumId w:val="2"/>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9D"/>
    <w:rsid w:val="002B3F9D"/>
    <w:rsid w:val="003059F0"/>
    <w:rsid w:val="00531036"/>
    <w:rsid w:val="007075DF"/>
    <w:rsid w:val="00786332"/>
    <w:rsid w:val="008321BF"/>
    <w:rsid w:val="00A53CE4"/>
    <w:rsid w:val="00D37984"/>
    <w:rsid w:val="00E41853"/>
    <w:rsid w:val="00FA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6877"/>
  <w15:docId w15:val="{ED80FAF3-1006-4106-92F5-7D3BCF22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Williams</dc:creator>
  <cp:lastModifiedBy>David Butler</cp:lastModifiedBy>
  <cp:revision>3</cp:revision>
  <dcterms:created xsi:type="dcterms:W3CDTF">2019-02-05T13:12:00Z</dcterms:created>
  <dcterms:modified xsi:type="dcterms:W3CDTF">2019-02-05T13:24:00Z</dcterms:modified>
</cp:coreProperties>
</file>