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D73" w:rsidRDefault="008B3D73" w:rsidP="008B3D73">
      <w:pPr>
        <w:rPr>
          <w:noProof/>
          <w:lang w:eastAsia="en-GB"/>
        </w:rPr>
      </w:pPr>
    </w:p>
    <w:p w:rsidR="008B3D73" w:rsidRDefault="008B3D73" w:rsidP="008B3D73">
      <w:pPr>
        <w:jc w:val="center"/>
        <w:rPr>
          <w:noProof/>
          <w:lang w:eastAsia="en-GB"/>
        </w:rPr>
      </w:pPr>
    </w:p>
    <w:p w:rsidR="008B3D73" w:rsidRDefault="008B3D73" w:rsidP="008B3D73">
      <w:pPr>
        <w:jc w:val="center"/>
        <w:rPr>
          <w:noProof/>
          <w:lang w:eastAsia="en-GB"/>
        </w:rPr>
      </w:pPr>
    </w:p>
    <w:p w:rsidR="008B3D73" w:rsidRDefault="008B3D73" w:rsidP="008B3D73">
      <w:pPr>
        <w:jc w:val="center"/>
        <w:rPr>
          <w:noProof/>
          <w:lang w:eastAsia="en-GB"/>
        </w:rPr>
      </w:pPr>
    </w:p>
    <w:p w:rsidR="008B3D73" w:rsidRDefault="008B3D73" w:rsidP="008B3D73">
      <w:pPr>
        <w:jc w:val="center"/>
      </w:pPr>
      <w:r>
        <w:rPr>
          <w:noProof/>
          <w:lang w:eastAsia="en-GB"/>
        </w:rPr>
        <w:drawing>
          <wp:inline distT="0" distB="0" distL="0" distR="0">
            <wp:extent cx="2752725" cy="1954116"/>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5857" cy="1956339"/>
                    </a:xfrm>
                    <a:prstGeom prst="rect">
                      <a:avLst/>
                    </a:prstGeom>
                    <a:noFill/>
                    <a:ln>
                      <a:noFill/>
                    </a:ln>
                  </pic:spPr>
                </pic:pic>
              </a:graphicData>
            </a:graphic>
          </wp:inline>
        </w:drawing>
      </w:r>
    </w:p>
    <w:p w:rsidR="008B3D73" w:rsidRDefault="008B3D73" w:rsidP="008B3D73">
      <w:pPr>
        <w:jc w:val="center"/>
      </w:pPr>
    </w:p>
    <w:p w:rsidR="008B3D73" w:rsidRDefault="008B3D73" w:rsidP="008B3D73">
      <w:pPr>
        <w:jc w:val="center"/>
      </w:pPr>
    </w:p>
    <w:p w:rsidR="008B3D73" w:rsidRPr="008B3D73" w:rsidRDefault="008B3D73" w:rsidP="008B3D73">
      <w:pPr>
        <w:jc w:val="center"/>
        <w:rPr>
          <w:b/>
          <w:sz w:val="48"/>
          <w:szCs w:val="48"/>
        </w:rPr>
      </w:pPr>
      <w:r w:rsidRPr="008B3D73">
        <w:rPr>
          <w:b/>
          <w:sz w:val="48"/>
          <w:szCs w:val="48"/>
        </w:rPr>
        <w:t>Warwick District Council</w:t>
      </w:r>
    </w:p>
    <w:p w:rsidR="008B3D73" w:rsidRDefault="008B3D73" w:rsidP="008B3D73">
      <w:pPr>
        <w:jc w:val="center"/>
        <w:rPr>
          <w:b/>
          <w:sz w:val="48"/>
          <w:szCs w:val="48"/>
        </w:rPr>
      </w:pPr>
      <w:r w:rsidRPr="008B3D73">
        <w:rPr>
          <w:b/>
          <w:sz w:val="48"/>
          <w:szCs w:val="48"/>
        </w:rPr>
        <w:t>Civil Penalties Policy – Private Sector Housing</w:t>
      </w:r>
    </w:p>
    <w:p w:rsidR="008B3D73" w:rsidRDefault="008B3D73" w:rsidP="008B3D73">
      <w:pPr>
        <w:jc w:val="center"/>
        <w:rPr>
          <w:b/>
          <w:sz w:val="48"/>
          <w:szCs w:val="48"/>
        </w:rPr>
      </w:pPr>
    </w:p>
    <w:p w:rsidR="008B3D73" w:rsidRDefault="008B3D73" w:rsidP="008B3D73">
      <w:pPr>
        <w:jc w:val="center"/>
        <w:rPr>
          <w:b/>
          <w:sz w:val="48"/>
          <w:szCs w:val="48"/>
        </w:rPr>
      </w:pPr>
      <w:r>
        <w:rPr>
          <w:b/>
          <w:sz w:val="48"/>
          <w:szCs w:val="48"/>
        </w:rPr>
        <w:t>2018</w:t>
      </w:r>
    </w:p>
    <w:p w:rsidR="008B3D73" w:rsidRDefault="008B3D73" w:rsidP="008B3D73">
      <w:pPr>
        <w:jc w:val="center"/>
        <w:rPr>
          <w:b/>
          <w:sz w:val="48"/>
          <w:szCs w:val="48"/>
        </w:rPr>
      </w:pPr>
    </w:p>
    <w:p w:rsidR="008B3D73" w:rsidRDefault="008B3D73" w:rsidP="008B3D73">
      <w:pPr>
        <w:jc w:val="center"/>
        <w:rPr>
          <w:b/>
          <w:sz w:val="48"/>
          <w:szCs w:val="48"/>
        </w:rPr>
      </w:pPr>
    </w:p>
    <w:p w:rsidR="008B3D73" w:rsidRDefault="008B3D73" w:rsidP="008B3D73">
      <w:pPr>
        <w:jc w:val="center"/>
        <w:rPr>
          <w:b/>
          <w:sz w:val="48"/>
          <w:szCs w:val="48"/>
        </w:rPr>
      </w:pPr>
    </w:p>
    <w:p w:rsidR="008B3D73" w:rsidRDefault="008B3D73" w:rsidP="008B3D73">
      <w:pPr>
        <w:jc w:val="center"/>
        <w:rPr>
          <w:b/>
          <w:sz w:val="48"/>
          <w:szCs w:val="48"/>
        </w:rPr>
      </w:pPr>
    </w:p>
    <w:p w:rsidR="00ED76D1" w:rsidRDefault="00ED76D1" w:rsidP="008B3D73">
      <w:pPr>
        <w:jc w:val="center"/>
        <w:rPr>
          <w:b/>
          <w:sz w:val="48"/>
          <w:szCs w:val="48"/>
        </w:rPr>
      </w:pPr>
    </w:p>
    <w:p w:rsidR="00ED76D1" w:rsidRDefault="00ED76D1" w:rsidP="008B3D73">
      <w:pPr>
        <w:jc w:val="center"/>
        <w:rPr>
          <w:b/>
          <w:sz w:val="48"/>
          <w:szCs w:val="48"/>
        </w:rPr>
      </w:pPr>
    </w:p>
    <w:p w:rsidR="008B3D73" w:rsidRDefault="008B3D73" w:rsidP="008B3D73">
      <w:pPr>
        <w:jc w:val="center"/>
        <w:rPr>
          <w:b/>
          <w:sz w:val="48"/>
          <w:szCs w:val="48"/>
        </w:rPr>
      </w:pPr>
      <w:r>
        <w:rPr>
          <w:b/>
          <w:sz w:val="48"/>
          <w:szCs w:val="48"/>
        </w:rPr>
        <w:t>Contents</w:t>
      </w:r>
    </w:p>
    <w:p w:rsidR="00C07FDD" w:rsidRDefault="00C07FDD" w:rsidP="008B3D73">
      <w:pPr>
        <w:rPr>
          <w:sz w:val="28"/>
          <w:szCs w:val="28"/>
        </w:rPr>
      </w:pPr>
    </w:p>
    <w:p w:rsidR="00C07FDD" w:rsidRDefault="00C07FDD" w:rsidP="008B3D73">
      <w:pPr>
        <w:rPr>
          <w:sz w:val="28"/>
          <w:szCs w:val="28"/>
        </w:rPr>
      </w:pPr>
    </w:p>
    <w:p w:rsidR="00C07FDD" w:rsidRDefault="00C77DC5" w:rsidP="008B3D73">
      <w:pPr>
        <w:rPr>
          <w:sz w:val="28"/>
          <w:szCs w:val="28"/>
        </w:rPr>
      </w:pPr>
      <w:r>
        <w:rPr>
          <w:sz w:val="28"/>
          <w:szCs w:val="28"/>
        </w:rPr>
        <w:t>Section 1 : Introduction</w:t>
      </w:r>
    </w:p>
    <w:p w:rsidR="004F3E26" w:rsidRPr="004F3E26" w:rsidRDefault="004F3E26" w:rsidP="000F7328">
      <w:pPr>
        <w:pStyle w:val="ListParagraph"/>
        <w:numPr>
          <w:ilvl w:val="1"/>
          <w:numId w:val="16"/>
        </w:numPr>
        <w:spacing w:after="0" w:line="360" w:lineRule="auto"/>
      </w:pPr>
      <w:r w:rsidRPr="004F3E26">
        <w:t>Overview</w:t>
      </w:r>
      <w:r w:rsidR="00D820E7">
        <w:t xml:space="preserve"> ………………………………………………………………………………………………………………page </w:t>
      </w:r>
      <w:r w:rsidR="000F7328">
        <w:t>3</w:t>
      </w:r>
    </w:p>
    <w:p w:rsidR="003821DD" w:rsidRDefault="00711967" w:rsidP="000F7328">
      <w:pPr>
        <w:pStyle w:val="ListParagraph"/>
        <w:numPr>
          <w:ilvl w:val="1"/>
          <w:numId w:val="16"/>
        </w:numPr>
        <w:spacing w:after="0" w:line="360" w:lineRule="auto"/>
      </w:pPr>
      <w:r>
        <w:t>Purpose of the</w:t>
      </w:r>
      <w:r w:rsidR="004F3E26" w:rsidRPr="004F3E26">
        <w:t xml:space="preserve"> policy</w:t>
      </w:r>
      <w:r w:rsidR="00D820E7">
        <w:t xml:space="preserve">…………………………………………………………………………………………….page </w:t>
      </w:r>
      <w:r w:rsidR="000F7328">
        <w:t>3</w:t>
      </w:r>
    </w:p>
    <w:p w:rsidR="000F7328" w:rsidRDefault="00CD3247" w:rsidP="008B3D73">
      <w:pPr>
        <w:pStyle w:val="ListParagraph"/>
        <w:numPr>
          <w:ilvl w:val="1"/>
          <w:numId w:val="16"/>
        </w:numPr>
        <w:tabs>
          <w:tab w:val="left" w:pos="8789"/>
        </w:tabs>
        <w:spacing w:after="0" w:line="360" w:lineRule="auto"/>
      </w:pPr>
      <w:r>
        <w:t>Equality Impact Assessment</w:t>
      </w:r>
      <w:r w:rsidR="00D820E7">
        <w:t xml:space="preserve">…………………………………………………………………………………page </w:t>
      </w:r>
      <w:r w:rsidR="000F7328">
        <w:t xml:space="preserve"> 3</w:t>
      </w:r>
    </w:p>
    <w:p w:rsidR="000F7328" w:rsidRPr="000F7328" w:rsidRDefault="000F7328" w:rsidP="000F7328">
      <w:pPr>
        <w:tabs>
          <w:tab w:val="left" w:pos="8789"/>
        </w:tabs>
        <w:spacing w:after="0" w:line="360" w:lineRule="auto"/>
      </w:pPr>
    </w:p>
    <w:p w:rsidR="004F3E26" w:rsidRDefault="00A66901" w:rsidP="008B3D73">
      <w:pPr>
        <w:rPr>
          <w:sz w:val="28"/>
          <w:szCs w:val="28"/>
        </w:rPr>
      </w:pPr>
      <w:r>
        <w:rPr>
          <w:sz w:val="28"/>
          <w:szCs w:val="28"/>
        </w:rPr>
        <w:t>Section 2: Legislation</w:t>
      </w:r>
    </w:p>
    <w:p w:rsidR="004F3E26" w:rsidRDefault="004F3E26" w:rsidP="000F7328">
      <w:pPr>
        <w:tabs>
          <w:tab w:val="left" w:pos="8222"/>
          <w:tab w:val="left" w:pos="8364"/>
          <w:tab w:val="left" w:pos="8789"/>
        </w:tabs>
        <w:spacing w:after="0" w:line="360" w:lineRule="auto"/>
        <w:ind w:left="720"/>
      </w:pPr>
      <w:r w:rsidRPr="004F3E26">
        <w:t>2.1 A</w:t>
      </w:r>
      <w:r w:rsidR="003821DD">
        <w:t>ssociated housing o</w:t>
      </w:r>
      <w:r w:rsidRPr="004F3E26">
        <w:t>ffences</w:t>
      </w:r>
      <w:r w:rsidR="000F7328">
        <w:t>………………………………………………………………………………….page  4</w:t>
      </w:r>
    </w:p>
    <w:p w:rsidR="004F3E26" w:rsidRDefault="004F3E26" w:rsidP="004F3E26">
      <w:pPr>
        <w:spacing w:after="0" w:line="360" w:lineRule="auto"/>
        <w:ind w:left="720"/>
      </w:pPr>
      <w:r>
        <w:t>2.2 Authority</w:t>
      </w:r>
      <w:r w:rsidR="000F7328">
        <w:t>………………………………………………………………………………………………………………..page 4</w:t>
      </w:r>
    </w:p>
    <w:p w:rsidR="004F3E26" w:rsidRPr="004F3E26" w:rsidRDefault="004F3E26" w:rsidP="004F3E26">
      <w:pPr>
        <w:spacing w:after="0" w:line="240" w:lineRule="auto"/>
        <w:ind w:left="720"/>
      </w:pPr>
    </w:p>
    <w:p w:rsidR="00A66901" w:rsidRDefault="00A66901" w:rsidP="008B3D73">
      <w:pPr>
        <w:rPr>
          <w:sz w:val="28"/>
          <w:szCs w:val="28"/>
        </w:rPr>
      </w:pPr>
      <w:r>
        <w:rPr>
          <w:sz w:val="28"/>
          <w:szCs w:val="28"/>
        </w:rPr>
        <w:t xml:space="preserve">Section 3: </w:t>
      </w:r>
      <w:r w:rsidR="004F3E26">
        <w:rPr>
          <w:sz w:val="28"/>
          <w:szCs w:val="28"/>
        </w:rPr>
        <w:t>A</w:t>
      </w:r>
      <w:r>
        <w:rPr>
          <w:sz w:val="28"/>
          <w:szCs w:val="28"/>
        </w:rPr>
        <w:t>pplying a Civil Penalty</w:t>
      </w:r>
    </w:p>
    <w:p w:rsidR="004F3E26" w:rsidRDefault="00711967" w:rsidP="000F7328">
      <w:pPr>
        <w:tabs>
          <w:tab w:val="left" w:pos="8364"/>
          <w:tab w:val="left" w:pos="8647"/>
        </w:tabs>
        <w:spacing w:after="0" w:line="360" w:lineRule="auto"/>
        <w:ind w:left="720"/>
      </w:pPr>
      <w:r>
        <w:t>3.1 Process for imposing civil p</w:t>
      </w:r>
      <w:r w:rsidR="004F3E26" w:rsidRPr="004F3E26">
        <w:t>enalties</w:t>
      </w:r>
      <w:r w:rsidR="000F7328">
        <w:t>………………………………………………………………………..page  4</w:t>
      </w:r>
    </w:p>
    <w:p w:rsidR="004F3E26" w:rsidRDefault="00E1746A" w:rsidP="003821DD">
      <w:pPr>
        <w:spacing w:after="0" w:line="360" w:lineRule="auto"/>
        <w:ind w:left="720"/>
      </w:pPr>
      <w:r>
        <w:t>3.2</w:t>
      </w:r>
      <w:r w:rsidR="004F3E26">
        <w:t xml:space="preserve"> </w:t>
      </w:r>
      <w:r w:rsidR="003821DD">
        <w:t xml:space="preserve">Consequences of </w:t>
      </w:r>
      <w:r w:rsidR="00711967">
        <w:t>non-c</w:t>
      </w:r>
      <w:r w:rsidR="004F3E26">
        <w:t>ompliance</w:t>
      </w:r>
      <w:r w:rsidR="000F7328">
        <w:t>………………………………………………………………………….page  5</w:t>
      </w:r>
    </w:p>
    <w:p w:rsidR="00E1746A" w:rsidRDefault="00E1746A" w:rsidP="00E1746A">
      <w:pPr>
        <w:spacing w:after="0" w:line="360" w:lineRule="auto"/>
        <w:ind w:left="720"/>
      </w:pPr>
      <w:r>
        <w:t>3.3 Penalty charging table</w:t>
      </w:r>
      <w:r w:rsidR="000F7328">
        <w:t>…………………………………………………………………………………………….page 5</w:t>
      </w:r>
    </w:p>
    <w:p w:rsidR="00E1746A" w:rsidRPr="004F3E26" w:rsidRDefault="00E1746A" w:rsidP="000F7328">
      <w:pPr>
        <w:tabs>
          <w:tab w:val="left" w:pos="8364"/>
        </w:tabs>
        <w:spacing w:after="0" w:line="360" w:lineRule="auto"/>
        <w:ind w:left="720"/>
      </w:pPr>
    </w:p>
    <w:p w:rsidR="00C07FDD" w:rsidRDefault="00C07FDD" w:rsidP="008B3D73">
      <w:pPr>
        <w:rPr>
          <w:sz w:val="28"/>
          <w:szCs w:val="28"/>
        </w:rPr>
      </w:pPr>
    </w:p>
    <w:p w:rsidR="00C07FDD" w:rsidRDefault="00C07FDD" w:rsidP="008B3D73">
      <w:pPr>
        <w:rPr>
          <w:sz w:val="28"/>
          <w:szCs w:val="28"/>
        </w:rPr>
      </w:pPr>
    </w:p>
    <w:p w:rsidR="00C07FDD" w:rsidRDefault="00C07FDD" w:rsidP="008B3D73">
      <w:pPr>
        <w:rPr>
          <w:sz w:val="28"/>
          <w:szCs w:val="28"/>
        </w:rPr>
      </w:pPr>
    </w:p>
    <w:p w:rsidR="00C07FDD" w:rsidRDefault="00C07FDD" w:rsidP="000F7328">
      <w:pPr>
        <w:tabs>
          <w:tab w:val="left" w:pos="8789"/>
        </w:tabs>
        <w:rPr>
          <w:sz w:val="28"/>
          <w:szCs w:val="28"/>
        </w:rPr>
      </w:pPr>
    </w:p>
    <w:p w:rsidR="00C07FDD" w:rsidRDefault="00C07FDD" w:rsidP="008B3D73">
      <w:pPr>
        <w:rPr>
          <w:sz w:val="28"/>
          <w:szCs w:val="28"/>
        </w:rPr>
      </w:pPr>
    </w:p>
    <w:p w:rsidR="00C07FDD" w:rsidRDefault="00C07FDD" w:rsidP="008B3D73">
      <w:pPr>
        <w:rPr>
          <w:sz w:val="28"/>
          <w:szCs w:val="28"/>
        </w:rPr>
      </w:pPr>
    </w:p>
    <w:p w:rsidR="003821DD" w:rsidRDefault="003821DD" w:rsidP="00671A3A">
      <w:pPr>
        <w:rPr>
          <w:sz w:val="28"/>
          <w:szCs w:val="28"/>
        </w:rPr>
      </w:pPr>
    </w:p>
    <w:p w:rsidR="00E1746A" w:rsidRDefault="00E1746A" w:rsidP="00671A3A">
      <w:pPr>
        <w:rPr>
          <w:sz w:val="28"/>
          <w:szCs w:val="28"/>
        </w:rPr>
      </w:pPr>
    </w:p>
    <w:p w:rsidR="00C77DC5" w:rsidRDefault="00C77DC5" w:rsidP="00671A3A">
      <w:pPr>
        <w:rPr>
          <w:b/>
          <w:sz w:val="28"/>
          <w:szCs w:val="28"/>
        </w:rPr>
      </w:pPr>
      <w:r w:rsidRPr="00C77DC5">
        <w:rPr>
          <w:b/>
          <w:sz w:val="28"/>
          <w:szCs w:val="28"/>
        </w:rPr>
        <w:t>1:</w:t>
      </w:r>
      <w:r w:rsidRPr="00C77DC5">
        <w:rPr>
          <w:sz w:val="28"/>
          <w:szCs w:val="28"/>
        </w:rPr>
        <w:t xml:space="preserve"> </w:t>
      </w:r>
      <w:r w:rsidR="008B3D73" w:rsidRPr="00C77DC5">
        <w:rPr>
          <w:b/>
          <w:sz w:val="28"/>
          <w:szCs w:val="28"/>
        </w:rPr>
        <w:t>Introduction</w:t>
      </w:r>
    </w:p>
    <w:p w:rsidR="00711967" w:rsidRPr="00C77DC5" w:rsidRDefault="00711967" w:rsidP="00671A3A">
      <w:pPr>
        <w:rPr>
          <w:b/>
          <w:sz w:val="28"/>
          <w:szCs w:val="28"/>
        </w:rPr>
      </w:pPr>
    </w:p>
    <w:p w:rsidR="00C77DC5" w:rsidRDefault="00C77DC5" w:rsidP="00671A3A">
      <w:pPr>
        <w:rPr>
          <w:b/>
          <w:sz w:val="24"/>
          <w:szCs w:val="24"/>
        </w:rPr>
      </w:pPr>
      <w:r>
        <w:rPr>
          <w:b/>
          <w:sz w:val="24"/>
          <w:szCs w:val="24"/>
        </w:rPr>
        <w:t>1.1 Overview</w:t>
      </w:r>
    </w:p>
    <w:p w:rsidR="00671A3A" w:rsidRPr="00C07FDD" w:rsidRDefault="00C07FDD" w:rsidP="00671A3A">
      <w:pPr>
        <w:rPr>
          <w:sz w:val="24"/>
          <w:szCs w:val="24"/>
        </w:rPr>
      </w:pPr>
      <w:r w:rsidRPr="00C07FDD">
        <w:rPr>
          <w:sz w:val="24"/>
          <w:szCs w:val="24"/>
        </w:rPr>
        <w:t xml:space="preserve">Warwick District Council are commited to ensuring good quality </w:t>
      </w:r>
      <w:r w:rsidR="00671A3A">
        <w:rPr>
          <w:sz w:val="24"/>
          <w:szCs w:val="24"/>
        </w:rPr>
        <w:t xml:space="preserve">private housing </w:t>
      </w:r>
      <w:r w:rsidRPr="00C07FDD">
        <w:rPr>
          <w:sz w:val="24"/>
          <w:szCs w:val="24"/>
        </w:rPr>
        <w:t>stock in our District.</w:t>
      </w:r>
      <w:r w:rsidR="008B3D73" w:rsidRPr="00C07FDD">
        <w:rPr>
          <w:sz w:val="24"/>
          <w:szCs w:val="24"/>
        </w:rPr>
        <w:t xml:space="preserve"> </w:t>
      </w:r>
      <w:r w:rsidR="00671A3A" w:rsidRPr="00C07FDD">
        <w:rPr>
          <w:sz w:val="24"/>
          <w:szCs w:val="24"/>
        </w:rPr>
        <w:t>The number of people housed in private rented accommodation now exceeds the number of people housed in socially rented properties</w:t>
      </w:r>
      <w:r w:rsidR="00671A3A">
        <w:rPr>
          <w:sz w:val="24"/>
          <w:szCs w:val="24"/>
        </w:rPr>
        <w:t xml:space="preserve"> both </w:t>
      </w:r>
      <w:r w:rsidR="00671A3A" w:rsidRPr="00C07FDD">
        <w:rPr>
          <w:sz w:val="24"/>
          <w:szCs w:val="24"/>
        </w:rPr>
        <w:t xml:space="preserve">nationally and locally. </w:t>
      </w:r>
    </w:p>
    <w:p w:rsidR="00C07FDD" w:rsidRPr="00C07FDD" w:rsidRDefault="00C07FDD" w:rsidP="008B3D73">
      <w:pPr>
        <w:rPr>
          <w:sz w:val="24"/>
          <w:szCs w:val="24"/>
        </w:rPr>
      </w:pPr>
      <w:r w:rsidRPr="00C07FDD">
        <w:rPr>
          <w:sz w:val="24"/>
          <w:szCs w:val="24"/>
        </w:rPr>
        <w:t>The Private Sector Housing Team work</w:t>
      </w:r>
      <w:r w:rsidR="000E7D8B">
        <w:rPr>
          <w:sz w:val="24"/>
          <w:szCs w:val="24"/>
        </w:rPr>
        <w:t xml:space="preserve"> with</w:t>
      </w:r>
      <w:r w:rsidR="009D0EDC">
        <w:rPr>
          <w:sz w:val="24"/>
          <w:szCs w:val="24"/>
        </w:rPr>
        <w:t xml:space="preserve"> many</w:t>
      </w:r>
      <w:r w:rsidRPr="00C07FDD">
        <w:rPr>
          <w:sz w:val="24"/>
          <w:szCs w:val="24"/>
        </w:rPr>
        <w:t xml:space="preserve"> </w:t>
      </w:r>
      <w:r w:rsidR="000E7D8B">
        <w:rPr>
          <w:sz w:val="24"/>
          <w:szCs w:val="24"/>
        </w:rPr>
        <w:t xml:space="preserve">good </w:t>
      </w:r>
      <w:r w:rsidRPr="00C07FDD">
        <w:rPr>
          <w:sz w:val="24"/>
          <w:szCs w:val="24"/>
        </w:rPr>
        <w:t>landlords who provide decent, w</w:t>
      </w:r>
      <w:r w:rsidR="000E7D8B">
        <w:rPr>
          <w:sz w:val="24"/>
          <w:szCs w:val="24"/>
        </w:rPr>
        <w:t xml:space="preserve">ell maintained homes and </w:t>
      </w:r>
      <w:r w:rsidR="009D0EDC">
        <w:rPr>
          <w:sz w:val="24"/>
          <w:szCs w:val="24"/>
        </w:rPr>
        <w:t xml:space="preserve">we </w:t>
      </w:r>
      <w:r w:rsidR="000E7D8B">
        <w:rPr>
          <w:sz w:val="24"/>
          <w:szCs w:val="24"/>
        </w:rPr>
        <w:t>assist</w:t>
      </w:r>
      <w:r w:rsidRPr="00C07FDD">
        <w:rPr>
          <w:sz w:val="24"/>
          <w:szCs w:val="24"/>
        </w:rPr>
        <w:t xml:space="preserve"> those who need advice </w:t>
      </w:r>
      <w:r w:rsidR="000E7D8B">
        <w:rPr>
          <w:sz w:val="24"/>
          <w:szCs w:val="24"/>
        </w:rPr>
        <w:t xml:space="preserve">and support </w:t>
      </w:r>
      <w:r w:rsidRPr="00C07FDD">
        <w:rPr>
          <w:sz w:val="24"/>
          <w:szCs w:val="24"/>
        </w:rPr>
        <w:t xml:space="preserve">to </w:t>
      </w:r>
      <w:r>
        <w:rPr>
          <w:sz w:val="24"/>
          <w:szCs w:val="24"/>
        </w:rPr>
        <w:t>become compliant</w:t>
      </w:r>
      <w:r w:rsidRPr="00C07FDD">
        <w:rPr>
          <w:sz w:val="24"/>
          <w:szCs w:val="24"/>
        </w:rPr>
        <w:t xml:space="preserve">. </w:t>
      </w:r>
      <w:r w:rsidR="00711967">
        <w:rPr>
          <w:sz w:val="24"/>
          <w:szCs w:val="24"/>
        </w:rPr>
        <w:t>However, w</w:t>
      </w:r>
      <w:r w:rsidRPr="00C07FDD">
        <w:rPr>
          <w:sz w:val="24"/>
          <w:szCs w:val="24"/>
        </w:rPr>
        <w:t>here landlords put tenants at risk and are not compliant with their lega</w:t>
      </w:r>
      <w:r w:rsidR="009D0EDC">
        <w:rPr>
          <w:sz w:val="24"/>
          <w:szCs w:val="24"/>
        </w:rPr>
        <w:t>l requirements, we will take</w:t>
      </w:r>
      <w:r w:rsidR="00711967">
        <w:rPr>
          <w:sz w:val="24"/>
          <w:szCs w:val="24"/>
        </w:rPr>
        <w:t xml:space="preserve"> </w:t>
      </w:r>
      <w:r w:rsidR="0016597A">
        <w:rPr>
          <w:sz w:val="24"/>
          <w:szCs w:val="24"/>
        </w:rPr>
        <w:t xml:space="preserve">action </w:t>
      </w:r>
      <w:r w:rsidRPr="00C07FDD">
        <w:rPr>
          <w:sz w:val="24"/>
          <w:szCs w:val="24"/>
        </w:rPr>
        <w:t>in line with our Enforcement Policy.</w:t>
      </w:r>
    </w:p>
    <w:p w:rsidR="0016597A" w:rsidRPr="00C07FDD" w:rsidRDefault="00711967" w:rsidP="0016597A">
      <w:pPr>
        <w:rPr>
          <w:sz w:val="24"/>
          <w:szCs w:val="24"/>
        </w:rPr>
      </w:pPr>
      <w:r>
        <w:rPr>
          <w:sz w:val="24"/>
          <w:szCs w:val="24"/>
        </w:rPr>
        <w:t xml:space="preserve">The Council </w:t>
      </w:r>
      <w:r w:rsidR="0040753F">
        <w:rPr>
          <w:sz w:val="24"/>
          <w:szCs w:val="24"/>
        </w:rPr>
        <w:t xml:space="preserve">is committed to the appropriate </w:t>
      </w:r>
      <w:r w:rsidR="0016597A">
        <w:rPr>
          <w:sz w:val="24"/>
          <w:szCs w:val="24"/>
        </w:rPr>
        <w:t xml:space="preserve">use of the new </w:t>
      </w:r>
      <w:r w:rsidR="009D0EDC">
        <w:rPr>
          <w:sz w:val="24"/>
          <w:szCs w:val="24"/>
        </w:rPr>
        <w:t xml:space="preserve">civil penalties </w:t>
      </w:r>
      <w:r w:rsidR="0016597A">
        <w:rPr>
          <w:sz w:val="24"/>
          <w:szCs w:val="24"/>
        </w:rPr>
        <w:t>powers available under the</w:t>
      </w:r>
      <w:r w:rsidR="0016597A" w:rsidRPr="00C07FDD">
        <w:rPr>
          <w:sz w:val="24"/>
          <w:szCs w:val="24"/>
        </w:rPr>
        <w:t xml:space="preserve"> Housing &amp; Planning Act 2016 (HPA). </w:t>
      </w:r>
      <w:r w:rsidR="00630C83">
        <w:rPr>
          <w:sz w:val="24"/>
          <w:szCs w:val="24"/>
        </w:rPr>
        <w:t>The Council formally adopted this policy on 24</w:t>
      </w:r>
      <w:r w:rsidR="00630C83" w:rsidRPr="00630C83">
        <w:rPr>
          <w:sz w:val="24"/>
          <w:szCs w:val="24"/>
          <w:vertAlign w:val="superscript"/>
        </w:rPr>
        <w:t>th</w:t>
      </w:r>
      <w:r w:rsidR="00630C83">
        <w:rPr>
          <w:sz w:val="24"/>
          <w:szCs w:val="24"/>
        </w:rPr>
        <w:t xml:space="preserve"> January 2018.</w:t>
      </w:r>
    </w:p>
    <w:p w:rsidR="00A66901" w:rsidRDefault="00A66901" w:rsidP="00C77DC5">
      <w:pPr>
        <w:rPr>
          <w:b/>
          <w:sz w:val="24"/>
          <w:szCs w:val="24"/>
        </w:rPr>
      </w:pPr>
    </w:p>
    <w:p w:rsidR="00C77DC5" w:rsidRPr="00C77DC5" w:rsidRDefault="00A66901" w:rsidP="00C77DC5">
      <w:pPr>
        <w:rPr>
          <w:b/>
          <w:sz w:val="24"/>
          <w:szCs w:val="24"/>
        </w:rPr>
      </w:pPr>
      <w:r>
        <w:rPr>
          <w:b/>
          <w:sz w:val="24"/>
          <w:szCs w:val="24"/>
        </w:rPr>
        <w:t xml:space="preserve">1.2 </w:t>
      </w:r>
      <w:r w:rsidR="00C77DC5" w:rsidRPr="00C77DC5">
        <w:rPr>
          <w:b/>
          <w:sz w:val="24"/>
          <w:szCs w:val="24"/>
        </w:rPr>
        <w:t>Purpose of this Policy</w:t>
      </w:r>
      <w:r w:rsidR="00711967">
        <w:rPr>
          <w:b/>
          <w:sz w:val="24"/>
          <w:szCs w:val="24"/>
        </w:rPr>
        <w:t xml:space="preserve"> </w:t>
      </w:r>
    </w:p>
    <w:p w:rsidR="00C77DC5" w:rsidRDefault="00C77DC5" w:rsidP="00C77DC5">
      <w:pPr>
        <w:rPr>
          <w:sz w:val="24"/>
          <w:szCs w:val="24"/>
        </w:rPr>
      </w:pPr>
      <w:r w:rsidRPr="00C77DC5">
        <w:rPr>
          <w:sz w:val="24"/>
          <w:szCs w:val="24"/>
        </w:rPr>
        <w:t>The Civil Penalties Policy</w:t>
      </w:r>
      <w:r w:rsidR="00711967">
        <w:rPr>
          <w:sz w:val="24"/>
          <w:szCs w:val="24"/>
        </w:rPr>
        <w:t xml:space="preserve"> </w:t>
      </w:r>
      <w:r w:rsidRPr="00C77DC5">
        <w:rPr>
          <w:sz w:val="24"/>
          <w:szCs w:val="24"/>
        </w:rPr>
        <w:t>is designed to ensure transparency, consistency and fairness in how and when civil penalties are imposed.</w:t>
      </w:r>
      <w:r>
        <w:rPr>
          <w:sz w:val="24"/>
          <w:szCs w:val="24"/>
        </w:rPr>
        <w:t xml:space="preserve"> Since April 2017 this Council has worked with the West Midlands Enforcement Group and the District and Borough Councils in Warwickshire to produce a consistent charging framework and process.</w:t>
      </w:r>
      <w:r w:rsidRPr="00C77DC5">
        <w:rPr>
          <w:sz w:val="24"/>
          <w:szCs w:val="24"/>
        </w:rPr>
        <w:t xml:space="preserve"> </w:t>
      </w:r>
    </w:p>
    <w:p w:rsidR="00C77DC5" w:rsidRDefault="0040753F" w:rsidP="00C77DC5">
      <w:pPr>
        <w:rPr>
          <w:sz w:val="24"/>
          <w:szCs w:val="24"/>
        </w:rPr>
      </w:pPr>
      <w:r>
        <w:rPr>
          <w:sz w:val="24"/>
          <w:szCs w:val="24"/>
        </w:rPr>
        <w:t>The</w:t>
      </w:r>
      <w:r w:rsidR="00C77DC5">
        <w:rPr>
          <w:sz w:val="24"/>
          <w:szCs w:val="24"/>
        </w:rPr>
        <w:t xml:space="preserve"> Policy contains specific information on the offences under the HPA, the level of penalty charges and the procedure Offic</w:t>
      </w:r>
      <w:r>
        <w:rPr>
          <w:sz w:val="24"/>
          <w:szCs w:val="24"/>
        </w:rPr>
        <w:t>ers will follow in considering civil p</w:t>
      </w:r>
      <w:r w:rsidR="00C77DC5">
        <w:rPr>
          <w:sz w:val="24"/>
          <w:szCs w:val="24"/>
        </w:rPr>
        <w:t>enalties as an alternative to prosecution.</w:t>
      </w:r>
      <w:r w:rsidR="00C77DC5" w:rsidRPr="00C77DC5">
        <w:rPr>
          <w:sz w:val="24"/>
          <w:szCs w:val="24"/>
        </w:rPr>
        <w:t xml:space="preserve"> </w:t>
      </w:r>
    </w:p>
    <w:p w:rsidR="00C77DC5" w:rsidRDefault="00630C83" w:rsidP="00C77DC5">
      <w:pPr>
        <w:rPr>
          <w:sz w:val="24"/>
          <w:szCs w:val="24"/>
        </w:rPr>
      </w:pPr>
      <w:r>
        <w:rPr>
          <w:sz w:val="24"/>
          <w:szCs w:val="24"/>
        </w:rPr>
        <w:t>This p</w:t>
      </w:r>
      <w:r w:rsidR="00C77DC5">
        <w:rPr>
          <w:sz w:val="24"/>
          <w:szCs w:val="24"/>
        </w:rPr>
        <w:t>olicy runs in conjunction with</w:t>
      </w:r>
      <w:r w:rsidR="00C77DC5" w:rsidRPr="00C77DC5">
        <w:rPr>
          <w:sz w:val="24"/>
          <w:szCs w:val="24"/>
        </w:rPr>
        <w:t xml:space="preserve"> the Private Sector Housing Enforcement Policy.</w:t>
      </w:r>
    </w:p>
    <w:p w:rsidR="00CD3247" w:rsidRDefault="00CD3247" w:rsidP="00C77DC5">
      <w:pPr>
        <w:rPr>
          <w:sz w:val="24"/>
          <w:szCs w:val="24"/>
        </w:rPr>
      </w:pPr>
    </w:p>
    <w:p w:rsidR="004F3E26" w:rsidRPr="00CD3247" w:rsidRDefault="00CD3247" w:rsidP="00CD3247">
      <w:pPr>
        <w:pStyle w:val="ListParagraph"/>
        <w:numPr>
          <w:ilvl w:val="1"/>
          <w:numId w:val="24"/>
        </w:numPr>
        <w:rPr>
          <w:b/>
          <w:sz w:val="24"/>
          <w:szCs w:val="24"/>
        </w:rPr>
      </w:pPr>
      <w:r w:rsidRPr="00CD3247">
        <w:rPr>
          <w:b/>
          <w:sz w:val="24"/>
          <w:szCs w:val="24"/>
        </w:rPr>
        <w:t>Equality Impact Assessment</w:t>
      </w:r>
    </w:p>
    <w:p w:rsidR="00CD3247" w:rsidRPr="00CD3247" w:rsidRDefault="00CD3247" w:rsidP="00CD3247">
      <w:pPr>
        <w:rPr>
          <w:b/>
          <w:sz w:val="24"/>
          <w:szCs w:val="24"/>
        </w:rPr>
      </w:pPr>
      <w:r w:rsidRPr="00CD3247">
        <w:rPr>
          <w:iCs/>
          <w:sz w:val="24"/>
          <w:szCs w:val="24"/>
        </w:rPr>
        <w:t xml:space="preserve">An impact assessment has been completed and </w:t>
      </w:r>
      <w:r w:rsidR="0040753F">
        <w:rPr>
          <w:iCs/>
          <w:sz w:val="24"/>
          <w:szCs w:val="24"/>
        </w:rPr>
        <w:t>n</w:t>
      </w:r>
      <w:r w:rsidRPr="00CD3247">
        <w:rPr>
          <w:iCs/>
          <w:sz w:val="24"/>
          <w:szCs w:val="24"/>
        </w:rPr>
        <w:t>o adverse or negative impact has been identified for any particular group as a result of the proposed policy.</w:t>
      </w:r>
    </w:p>
    <w:p w:rsidR="00CD3247" w:rsidRDefault="00CD3247" w:rsidP="00CD3247">
      <w:pPr>
        <w:ind w:left="720"/>
        <w:rPr>
          <w:b/>
          <w:sz w:val="24"/>
          <w:szCs w:val="24"/>
        </w:rPr>
      </w:pPr>
    </w:p>
    <w:p w:rsidR="00CD3247" w:rsidRDefault="00CD3247" w:rsidP="00CD3247">
      <w:pPr>
        <w:ind w:left="720"/>
        <w:rPr>
          <w:b/>
          <w:sz w:val="24"/>
          <w:szCs w:val="24"/>
        </w:rPr>
      </w:pPr>
    </w:p>
    <w:p w:rsidR="00E1746A" w:rsidRDefault="00E1746A" w:rsidP="00CD3247">
      <w:pPr>
        <w:ind w:left="720"/>
        <w:rPr>
          <w:b/>
          <w:sz w:val="24"/>
          <w:szCs w:val="24"/>
        </w:rPr>
      </w:pPr>
    </w:p>
    <w:p w:rsidR="00E1746A" w:rsidRPr="00CD3247" w:rsidRDefault="00E1746A" w:rsidP="00CD3247">
      <w:pPr>
        <w:ind w:left="720"/>
        <w:rPr>
          <w:b/>
          <w:sz w:val="24"/>
          <w:szCs w:val="24"/>
        </w:rPr>
      </w:pPr>
    </w:p>
    <w:p w:rsidR="00E1746A" w:rsidRDefault="00A66901" w:rsidP="008B3D73">
      <w:pPr>
        <w:rPr>
          <w:b/>
          <w:sz w:val="24"/>
          <w:szCs w:val="24"/>
        </w:rPr>
      </w:pPr>
      <w:r w:rsidRPr="00A66901">
        <w:rPr>
          <w:b/>
          <w:sz w:val="24"/>
          <w:szCs w:val="24"/>
        </w:rPr>
        <w:t>2</w:t>
      </w:r>
      <w:r w:rsidRPr="00A66901">
        <w:rPr>
          <w:b/>
          <w:sz w:val="28"/>
          <w:szCs w:val="28"/>
        </w:rPr>
        <w:t>: Legislation</w:t>
      </w:r>
    </w:p>
    <w:p w:rsidR="00E1746A" w:rsidRPr="00E1746A" w:rsidRDefault="00E1746A" w:rsidP="008B3D73">
      <w:pPr>
        <w:rPr>
          <w:b/>
          <w:sz w:val="24"/>
          <w:szCs w:val="24"/>
        </w:rPr>
      </w:pPr>
    </w:p>
    <w:p w:rsidR="00671A3A" w:rsidRPr="00671A3A" w:rsidRDefault="00A66901" w:rsidP="008B3D73">
      <w:pPr>
        <w:rPr>
          <w:b/>
          <w:sz w:val="24"/>
          <w:szCs w:val="24"/>
        </w:rPr>
      </w:pPr>
      <w:r>
        <w:rPr>
          <w:b/>
          <w:sz w:val="24"/>
          <w:szCs w:val="24"/>
        </w:rPr>
        <w:t xml:space="preserve">2.1 Associated </w:t>
      </w:r>
      <w:r w:rsidR="00671A3A">
        <w:rPr>
          <w:b/>
          <w:sz w:val="24"/>
          <w:szCs w:val="24"/>
        </w:rPr>
        <w:t>Housing Offences</w:t>
      </w:r>
    </w:p>
    <w:p w:rsidR="008B3D73" w:rsidRDefault="00671A3A" w:rsidP="008B3D73">
      <w:pPr>
        <w:rPr>
          <w:sz w:val="24"/>
          <w:szCs w:val="24"/>
        </w:rPr>
      </w:pPr>
      <w:r>
        <w:rPr>
          <w:sz w:val="24"/>
          <w:szCs w:val="24"/>
        </w:rPr>
        <w:t>The HPA came into force on April 6</w:t>
      </w:r>
      <w:r w:rsidRPr="00671A3A">
        <w:rPr>
          <w:sz w:val="24"/>
          <w:szCs w:val="24"/>
          <w:vertAlign w:val="superscript"/>
        </w:rPr>
        <w:t>th</w:t>
      </w:r>
      <w:r>
        <w:rPr>
          <w:sz w:val="24"/>
          <w:szCs w:val="24"/>
        </w:rPr>
        <w:t xml:space="preserve"> 2017 and introduced Civil Penalties of up to £30,000 as an alternative to prosecution for specified housing offences listed below:</w:t>
      </w:r>
    </w:p>
    <w:p w:rsidR="00671A3A" w:rsidRPr="00671A3A" w:rsidRDefault="00671A3A" w:rsidP="002B1264">
      <w:pPr>
        <w:numPr>
          <w:ilvl w:val="2"/>
          <w:numId w:val="9"/>
        </w:numPr>
        <w:spacing w:after="120" w:line="240" w:lineRule="auto"/>
        <w:rPr>
          <w:rFonts w:eastAsia="Times New Roman" w:cs="Arial"/>
        </w:rPr>
      </w:pPr>
      <w:r w:rsidRPr="00671A3A">
        <w:rPr>
          <w:rFonts w:eastAsia="Times New Roman" w:cs="Arial"/>
        </w:rPr>
        <w:t>Failure to comply with Improvement Notice (Housing Act 2004 Section 30)</w:t>
      </w:r>
    </w:p>
    <w:p w:rsidR="00671A3A" w:rsidRDefault="0019383E" w:rsidP="002B1264">
      <w:pPr>
        <w:numPr>
          <w:ilvl w:val="2"/>
          <w:numId w:val="9"/>
        </w:numPr>
        <w:spacing w:after="120" w:line="240" w:lineRule="auto"/>
        <w:rPr>
          <w:rFonts w:eastAsia="Times New Roman" w:cs="Arial"/>
        </w:rPr>
      </w:pPr>
      <w:r>
        <w:rPr>
          <w:rFonts w:eastAsia="Times New Roman" w:cs="Arial"/>
        </w:rPr>
        <w:t>Failure to licenc</w:t>
      </w:r>
      <w:r w:rsidR="00671A3A" w:rsidRPr="00671A3A">
        <w:rPr>
          <w:rFonts w:eastAsia="Times New Roman" w:cs="Arial"/>
        </w:rPr>
        <w:t>e an HMO under Housing Act 2004 Part 2 (Housing Act 2004 Section 72)( mandatory licensing )</w:t>
      </w:r>
    </w:p>
    <w:p w:rsidR="007C4012" w:rsidRPr="00671A3A" w:rsidRDefault="007C4012" w:rsidP="002B1264">
      <w:pPr>
        <w:numPr>
          <w:ilvl w:val="2"/>
          <w:numId w:val="9"/>
        </w:numPr>
        <w:spacing w:after="120" w:line="240" w:lineRule="auto"/>
        <w:rPr>
          <w:rFonts w:eastAsia="Times New Roman" w:cs="Arial"/>
        </w:rPr>
      </w:pPr>
      <w:r>
        <w:rPr>
          <w:rFonts w:eastAsia="Times New Roman" w:cs="Arial"/>
        </w:rPr>
        <w:t xml:space="preserve">Breach of HMO licence conditions under Housing Act 2004 Parts 2 &amp; 3 Housing Act 2004 Section </w:t>
      </w:r>
      <w:r w:rsidR="00FE4BFD">
        <w:rPr>
          <w:rFonts w:eastAsia="Times New Roman" w:cs="Arial"/>
        </w:rPr>
        <w:t>72</w:t>
      </w:r>
      <w:r>
        <w:rPr>
          <w:rFonts w:eastAsia="Times New Roman" w:cs="Arial"/>
        </w:rPr>
        <w:t xml:space="preserve"> &amp; 9</w:t>
      </w:r>
      <w:r w:rsidR="00FE4BFD">
        <w:rPr>
          <w:rFonts w:eastAsia="Times New Roman" w:cs="Arial"/>
        </w:rPr>
        <w:t>5</w:t>
      </w:r>
      <w:bookmarkStart w:id="0" w:name="_GoBack"/>
      <w:bookmarkEnd w:id="0"/>
      <w:r>
        <w:rPr>
          <w:rFonts w:eastAsia="Times New Roman" w:cs="Arial"/>
        </w:rPr>
        <w:t>)(mandatory and selective licensing)</w:t>
      </w:r>
    </w:p>
    <w:p w:rsidR="00671A3A" w:rsidRPr="00671A3A" w:rsidRDefault="0019383E" w:rsidP="002B1264">
      <w:pPr>
        <w:numPr>
          <w:ilvl w:val="2"/>
          <w:numId w:val="9"/>
        </w:numPr>
        <w:spacing w:after="120" w:line="240" w:lineRule="auto"/>
        <w:rPr>
          <w:rFonts w:eastAsia="Times New Roman" w:cs="Arial"/>
        </w:rPr>
      </w:pPr>
      <w:r>
        <w:rPr>
          <w:rFonts w:eastAsia="Times New Roman" w:cs="Arial"/>
        </w:rPr>
        <w:t>Failure to licenc</w:t>
      </w:r>
      <w:r w:rsidR="00671A3A" w:rsidRPr="00671A3A">
        <w:rPr>
          <w:rFonts w:eastAsia="Times New Roman" w:cs="Arial"/>
        </w:rPr>
        <w:t>e houses under Housing Act 2004 Part 3, (Housing Act 2004 Section 95)( selective licensing )</w:t>
      </w:r>
    </w:p>
    <w:p w:rsidR="00671A3A" w:rsidRPr="00671A3A" w:rsidRDefault="00671A3A" w:rsidP="002B1264">
      <w:pPr>
        <w:numPr>
          <w:ilvl w:val="2"/>
          <w:numId w:val="9"/>
        </w:numPr>
        <w:spacing w:after="120" w:line="240" w:lineRule="auto"/>
        <w:rPr>
          <w:rFonts w:eastAsia="Times New Roman" w:cs="Arial"/>
        </w:rPr>
      </w:pPr>
      <w:r w:rsidRPr="00671A3A">
        <w:rPr>
          <w:rFonts w:eastAsia="Times New Roman" w:cs="Arial"/>
        </w:rPr>
        <w:t>Failure to comply with an Overcrowding Notice, (Housing Act 2004 Section 139(7))</w:t>
      </w:r>
    </w:p>
    <w:p w:rsidR="00671A3A" w:rsidRPr="00671A3A" w:rsidRDefault="00671A3A" w:rsidP="002B1264">
      <w:pPr>
        <w:numPr>
          <w:ilvl w:val="2"/>
          <w:numId w:val="9"/>
        </w:numPr>
        <w:spacing w:after="120" w:line="240" w:lineRule="auto"/>
        <w:rPr>
          <w:rFonts w:eastAsia="Times New Roman" w:cs="Arial"/>
        </w:rPr>
      </w:pPr>
      <w:r w:rsidRPr="00671A3A">
        <w:rPr>
          <w:rFonts w:eastAsia="Times New Roman" w:cs="Arial"/>
        </w:rPr>
        <w:t>Breach of Management Regulations in respect of HMOs. (Housing Act 2004 Section 234)</w:t>
      </w:r>
    </w:p>
    <w:p w:rsidR="00C77DC5" w:rsidRDefault="00C77DC5" w:rsidP="00671A3A">
      <w:pPr>
        <w:rPr>
          <w:sz w:val="24"/>
          <w:szCs w:val="24"/>
        </w:rPr>
      </w:pPr>
    </w:p>
    <w:p w:rsidR="00A66901" w:rsidRPr="00A66901" w:rsidRDefault="00A66901" w:rsidP="00671A3A">
      <w:pPr>
        <w:rPr>
          <w:b/>
          <w:sz w:val="24"/>
          <w:szCs w:val="24"/>
        </w:rPr>
      </w:pPr>
      <w:r w:rsidRPr="00A66901">
        <w:rPr>
          <w:b/>
          <w:sz w:val="24"/>
          <w:szCs w:val="24"/>
        </w:rPr>
        <w:t>2.2 Authority</w:t>
      </w:r>
    </w:p>
    <w:p w:rsidR="00A66901" w:rsidRPr="004F3E26" w:rsidRDefault="00C77DC5" w:rsidP="008B3D73">
      <w:r w:rsidRPr="004F3E26">
        <w:t>The power given to local authorities to impose a civil penalty as an alternative to prosecution for certain specified housing offences was introduced by section 126 and Schedule 9 of the Housing and Planning Act 2016.</w:t>
      </w:r>
    </w:p>
    <w:p w:rsidR="00A66901" w:rsidRPr="00A66901" w:rsidRDefault="00A66901" w:rsidP="008B3D73">
      <w:pPr>
        <w:rPr>
          <w:sz w:val="23"/>
          <w:szCs w:val="23"/>
        </w:rPr>
      </w:pPr>
    </w:p>
    <w:p w:rsidR="008B3D73" w:rsidRDefault="00A66901" w:rsidP="00ED76D1">
      <w:pPr>
        <w:pStyle w:val="NoSpacing"/>
      </w:pPr>
      <w:r w:rsidRPr="00A66901">
        <w:rPr>
          <w:b/>
          <w:sz w:val="28"/>
          <w:szCs w:val="28"/>
        </w:rPr>
        <w:t xml:space="preserve">3: </w:t>
      </w:r>
      <w:r w:rsidR="002B1264">
        <w:rPr>
          <w:b/>
          <w:sz w:val="28"/>
          <w:szCs w:val="28"/>
        </w:rPr>
        <w:t>A</w:t>
      </w:r>
      <w:r w:rsidR="00C77DC5" w:rsidRPr="00A66901">
        <w:rPr>
          <w:b/>
          <w:sz w:val="28"/>
          <w:szCs w:val="28"/>
        </w:rPr>
        <w:t>pplying a Civil Penalty</w:t>
      </w:r>
      <w:r w:rsidR="002B1264" w:rsidRPr="002B1264">
        <w:t xml:space="preserve"> </w:t>
      </w:r>
    </w:p>
    <w:p w:rsidR="00ED76D1" w:rsidRDefault="00ED76D1" w:rsidP="00ED76D1">
      <w:pPr>
        <w:pStyle w:val="NoSpacing"/>
      </w:pPr>
    </w:p>
    <w:p w:rsidR="00E1746A" w:rsidRPr="00ED76D1" w:rsidRDefault="00E1746A" w:rsidP="00ED76D1">
      <w:pPr>
        <w:pStyle w:val="NoSpacing"/>
      </w:pPr>
    </w:p>
    <w:p w:rsidR="00A66901" w:rsidRPr="00A66901" w:rsidRDefault="00A66901" w:rsidP="00A66901">
      <w:pPr>
        <w:spacing w:after="0" w:line="240" w:lineRule="auto"/>
        <w:rPr>
          <w:rFonts w:eastAsia="Times New Roman" w:cs="Arial"/>
          <w:b/>
          <w:sz w:val="24"/>
          <w:szCs w:val="24"/>
        </w:rPr>
      </w:pPr>
      <w:r w:rsidRPr="00A66901">
        <w:rPr>
          <w:rFonts w:eastAsia="Times New Roman" w:cs="Arial"/>
          <w:b/>
          <w:sz w:val="24"/>
          <w:szCs w:val="24"/>
        </w:rPr>
        <w:t>3.1 Process for Imposing Civil Penalties</w:t>
      </w:r>
    </w:p>
    <w:p w:rsidR="002B1264" w:rsidRDefault="002B1264" w:rsidP="002B1264">
      <w:pPr>
        <w:spacing w:after="0" w:line="240" w:lineRule="auto"/>
        <w:ind w:left="720" w:hanging="720"/>
        <w:jc w:val="both"/>
        <w:rPr>
          <w:rFonts w:eastAsia="Times New Roman" w:cs="Arial"/>
        </w:rPr>
      </w:pPr>
    </w:p>
    <w:p w:rsidR="00ED76D1" w:rsidRDefault="00ED76D1" w:rsidP="00ED76D1">
      <w:pPr>
        <w:pStyle w:val="NoSpacing"/>
      </w:pPr>
      <w:r w:rsidRPr="00A66901">
        <w:t>The implementation of civil penalties would need to follow the ge</w:t>
      </w:r>
      <w:r>
        <w:t xml:space="preserve">neral principles set out in the </w:t>
      </w:r>
      <w:r w:rsidRPr="00A66901">
        <w:t>Regulators Code, which have been included in the Council’s Enforcement Policy.</w:t>
      </w:r>
    </w:p>
    <w:p w:rsidR="00ED76D1" w:rsidRDefault="00ED76D1" w:rsidP="00ED76D1">
      <w:pPr>
        <w:pStyle w:val="NoSpacing"/>
      </w:pPr>
    </w:p>
    <w:p w:rsidR="00ED76D1" w:rsidRDefault="0040753F" w:rsidP="00ED76D1">
      <w:pPr>
        <w:pStyle w:val="NoSpacing"/>
      </w:pPr>
      <w:r>
        <w:t>A</w:t>
      </w:r>
      <w:r w:rsidR="00ED76D1" w:rsidRPr="00C34281">
        <w:t xml:space="preserve"> criminal standard of evidence is required to establish beyond reasonable doubt that an offence has been committed, and landlords do have a right of appeal</w:t>
      </w:r>
      <w:r w:rsidR="00ED76D1">
        <w:t xml:space="preserve"> to the Residential Property Tribunal (First tier)</w:t>
      </w:r>
      <w:r w:rsidR="00ED76D1" w:rsidRPr="00C34281">
        <w:t>.</w:t>
      </w:r>
    </w:p>
    <w:p w:rsidR="00ED76D1" w:rsidRPr="00A66901" w:rsidRDefault="00ED76D1" w:rsidP="00ED76D1">
      <w:pPr>
        <w:pStyle w:val="NoSpacing"/>
        <w:rPr>
          <w:rFonts w:eastAsia="Times New Roman" w:cs="Arial"/>
          <w:b/>
        </w:rPr>
      </w:pPr>
    </w:p>
    <w:p w:rsidR="00A66901" w:rsidRPr="00A66901" w:rsidRDefault="00A66901" w:rsidP="002B1264">
      <w:pPr>
        <w:spacing w:after="0" w:line="240" w:lineRule="auto"/>
        <w:jc w:val="both"/>
        <w:rPr>
          <w:rFonts w:eastAsia="Times New Roman" w:cs="Arial"/>
        </w:rPr>
      </w:pPr>
      <w:r w:rsidRPr="00A66901">
        <w:rPr>
          <w:rFonts w:eastAsia="Times New Roman" w:cs="Arial"/>
        </w:rPr>
        <w:t>Where it has been determined that a civil penalty may be appropriate to impose as an alternative to prosecution, the Council will follow the process set out below:</w:t>
      </w:r>
    </w:p>
    <w:p w:rsidR="00A66901" w:rsidRPr="00A66901" w:rsidRDefault="00A66901" w:rsidP="00A66901">
      <w:pPr>
        <w:spacing w:after="0" w:line="240" w:lineRule="auto"/>
        <w:ind w:left="720"/>
        <w:rPr>
          <w:rFonts w:eastAsia="Times New Roman" w:cs="Arial"/>
        </w:rPr>
      </w:pPr>
    </w:p>
    <w:p w:rsidR="00A66901" w:rsidRPr="00A66901" w:rsidRDefault="00A66901" w:rsidP="00A66901">
      <w:pPr>
        <w:spacing w:after="0" w:line="240" w:lineRule="auto"/>
        <w:ind w:left="720" w:hanging="720"/>
        <w:rPr>
          <w:rFonts w:eastAsia="Times New Roman" w:cs="Arial"/>
        </w:rPr>
      </w:pPr>
      <w:r w:rsidRPr="00A66901">
        <w:rPr>
          <w:rFonts w:eastAsia="Times New Roman" w:cs="Arial"/>
        </w:rPr>
        <w:lastRenderedPageBreak/>
        <w:t>A “Notice of Intent” shall be served on the person suspected of committing the offence. The Notice shall specify:</w:t>
      </w:r>
    </w:p>
    <w:p w:rsidR="00A66901" w:rsidRPr="00A66901" w:rsidRDefault="00A66901" w:rsidP="002B1264">
      <w:pPr>
        <w:numPr>
          <w:ilvl w:val="0"/>
          <w:numId w:val="13"/>
        </w:numPr>
        <w:spacing w:after="0" w:line="240" w:lineRule="auto"/>
        <w:rPr>
          <w:rFonts w:eastAsia="Times New Roman" w:cs="Arial"/>
        </w:rPr>
      </w:pPr>
      <w:r w:rsidRPr="00A66901">
        <w:rPr>
          <w:rFonts w:eastAsia="Times New Roman" w:cs="Arial"/>
        </w:rPr>
        <w:t>The amount of any proposed civil penalty</w:t>
      </w:r>
    </w:p>
    <w:p w:rsidR="00A66901" w:rsidRPr="00A66901" w:rsidRDefault="00A66901" w:rsidP="002B1264">
      <w:pPr>
        <w:numPr>
          <w:ilvl w:val="0"/>
          <w:numId w:val="13"/>
        </w:numPr>
        <w:spacing w:after="0" w:line="240" w:lineRule="auto"/>
        <w:rPr>
          <w:rFonts w:eastAsia="Times New Roman" w:cs="Arial"/>
        </w:rPr>
      </w:pPr>
      <w:r w:rsidRPr="00A66901">
        <w:rPr>
          <w:rFonts w:eastAsia="Times New Roman" w:cs="Arial"/>
        </w:rPr>
        <w:t>The reasons for proposing the civil penalty</w:t>
      </w:r>
    </w:p>
    <w:p w:rsidR="00A66901" w:rsidRPr="00A66901" w:rsidRDefault="00A66901" w:rsidP="002B1264">
      <w:pPr>
        <w:numPr>
          <w:ilvl w:val="0"/>
          <w:numId w:val="13"/>
        </w:numPr>
        <w:spacing w:after="0" w:line="240" w:lineRule="auto"/>
        <w:rPr>
          <w:rFonts w:eastAsia="Times New Roman" w:cs="Arial"/>
        </w:rPr>
      </w:pPr>
      <w:r w:rsidRPr="00A66901">
        <w:rPr>
          <w:rFonts w:eastAsia="Times New Roman" w:cs="Arial"/>
        </w:rPr>
        <w:t xml:space="preserve">Information about the right to make representation to the Council. </w:t>
      </w:r>
    </w:p>
    <w:p w:rsidR="00A66901" w:rsidRPr="00A66901" w:rsidRDefault="00A66901" w:rsidP="00A66901">
      <w:pPr>
        <w:spacing w:after="0" w:line="240" w:lineRule="auto"/>
        <w:ind w:firstLine="720"/>
        <w:rPr>
          <w:rFonts w:eastAsia="Times New Roman" w:cs="Arial"/>
        </w:rPr>
      </w:pPr>
    </w:p>
    <w:p w:rsidR="00A66901" w:rsidRPr="00A66901" w:rsidRDefault="00A66901" w:rsidP="002B1264">
      <w:pPr>
        <w:pStyle w:val="NoSpacing"/>
      </w:pPr>
      <w:r w:rsidRPr="00A66901">
        <w:t>The person to which the notice relates will be given 28 days to make written representation to the Council about the proposal to impose a civil penalty. The representation may be via any legible written format, but to aid respondents, a form will be included with the Notice of Intent.</w:t>
      </w:r>
    </w:p>
    <w:p w:rsidR="00A66901" w:rsidRPr="00A66901" w:rsidRDefault="00A66901" w:rsidP="00A66901">
      <w:pPr>
        <w:spacing w:after="0" w:line="240" w:lineRule="auto"/>
        <w:ind w:left="720"/>
        <w:rPr>
          <w:rFonts w:eastAsia="Times New Roman" w:cs="Arial"/>
        </w:rPr>
      </w:pPr>
    </w:p>
    <w:p w:rsidR="00A66901" w:rsidRPr="00A66901" w:rsidRDefault="00A66901" w:rsidP="00A66901">
      <w:pPr>
        <w:spacing w:after="0" w:line="240" w:lineRule="auto"/>
        <w:rPr>
          <w:rFonts w:eastAsia="Times New Roman" w:cs="Arial"/>
        </w:rPr>
      </w:pPr>
      <w:r w:rsidRPr="00A66901">
        <w:rPr>
          <w:rFonts w:eastAsia="Times New Roman" w:cs="Arial"/>
        </w:rPr>
        <w:t xml:space="preserve">Following the 28 day period the Council will </w:t>
      </w:r>
      <w:r w:rsidR="002B1264">
        <w:rPr>
          <w:rFonts w:eastAsia="Times New Roman" w:cs="Arial"/>
        </w:rPr>
        <w:t xml:space="preserve">consider any representations made and </w:t>
      </w:r>
      <w:r w:rsidRPr="00A66901">
        <w:rPr>
          <w:rFonts w:eastAsia="Times New Roman" w:cs="Arial"/>
        </w:rPr>
        <w:t>decide:</w:t>
      </w:r>
    </w:p>
    <w:p w:rsidR="00A66901" w:rsidRPr="00A66901" w:rsidRDefault="00A66901" w:rsidP="002B1264">
      <w:pPr>
        <w:numPr>
          <w:ilvl w:val="0"/>
          <w:numId w:val="12"/>
        </w:numPr>
        <w:spacing w:after="0" w:line="240" w:lineRule="auto"/>
        <w:rPr>
          <w:rFonts w:eastAsia="Times New Roman" w:cs="Arial"/>
        </w:rPr>
      </w:pPr>
      <w:r w:rsidRPr="00A66901">
        <w:rPr>
          <w:rFonts w:eastAsia="Times New Roman" w:cs="Arial"/>
        </w:rPr>
        <w:t>Whether to impose a civil penalty on the person</w:t>
      </w:r>
    </w:p>
    <w:p w:rsidR="00A66901" w:rsidRPr="00A66901" w:rsidRDefault="00A66901" w:rsidP="002B1264">
      <w:pPr>
        <w:numPr>
          <w:ilvl w:val="0"/>
          <w:numId w:val="12"/>
        </w:numPr>
        <w:spacing w:after="0" w:line="240" w:lineRule="auto"/>
        <w:rPr>
          <w:rFonts w:eastAsia="Times New Roman" w:cs="Arial"/>
        </w:rPr>
      </w:pPr>
      <w:r w:rsidRPr="00A66901">
        <w:rPr>
          <w:rFonts w:eastAsia="Times New Roman" w:cs="Arial"/>
        </w:rPr>
        <w:t>The value of any such penalty imposed.</w:t>
      </w:r>
    </w:p>
    <w:p w:rsidR="00A66901" w:rsidRPr="00A66901" w:rsidRDefault="00A66901" w:rsidP="00A66901">
      <w:pPr>
        <w:spacing w:after="0" w:line="240" w:lineRule="auto"/>
        <w:ind w:firstLine="720"/>
        <w:rPr>
          <w:rFonts w:eastAsia="Times New Roman" w:cs="Arial"/>
        </w:rPr>
      </w:pPr>
    </w:p>
    <w:p w:rsidR="00A66901" w:rsidRPr="00A66901" w:rsidRDefault="00A66901" w:rsidP="002B1264">
      <w:pPr>
        <w:pStyle w:val="NoSpacing"/>
      </w:pPr>
      <w:r w:rsidRPr="00A66901">
        <w:t>If the Council decides to impose a civil penalty, a Final Notice shall be issued imposing that penalty. The Final Notice will specify:</w:t>
      </w:r>
    </w:p>
    <w:p w:rsidR="00A66901" w:rsidRPr="00A66901" w:rsidRDefault="00A66901" w:rsidP="002B1264">
      <w:pPr>
        <w:numPr>
          <w:ilvl w:val="0"/>
          <w:numId w:val="15"/>
        </w:numPr>
        <w:spacing w:after="0" w:line="240" w:lineRule="auto"/>
        <w:rPr>
          <w:rFonts w:eastAsia="Times New Roman" w:cs="Arial"/>
        </w:rPr>
      </w:pPr>
      <w:r w:rsidRPr="00A66901">
        <w:rPr>
          <w:rFonts w:eastAsia="Times New Roman" w:cs="Arial"/>
        </w:rPr>
        <w:t>The amount of the financial penalty</w:t>
      </w:r>
    </w:p>
    <w:p w:rsidR="00A66901" w:rsidRPr="00A66901" w:rsidRDefault="00A66901" w:rsidP="002B1264">
      <w:pPr>
        <w:numPr>
          <w:ilvl w:val="0"/>
          <w:numId w:val="15"/>
        </w:numPr>
        <w:spacing w:after="0" w:line="240" w:lineRule="auto"/>
        <w:rPr>
          <w:rFonts w:eastAsia="Times New Roman" w:cs="Arial"/>
        </w:rPr>
      </w:pPr>
      <w:r w:rsidRPr="00A66901">
        <w:rPr>
          <w:rFonts w:eastAsia="Times New Roman" w:cs="Arial"/>
        </w:rPr>
        <w:t>The reasons for imposing the penalty</w:t>
      </w:r>
    </w:p>
    <w:p w:rsidR="00A66901" w:rsidRPr="00A66901" w:rsidRDefault="00A66901" w:rsidP="002B1264">
      <w:pPr>
        <w:numPr>
          <w:ilvl w:val="0"/>
          <w:numId w:val="15"/>
        </w:numPr>
        <w:spacing w:after="0" w:line="240" w:lineRule="auto"/>
        <w:rPr>
          <w:rFonts w:eastAsia="Times New Roman" w:cs="Arial"/>
        </w:rPr>
      </w:pPr>
      <w:r w:rsidRPr="00A66901">
        <w:rPr>
          <w:rFonts w:eastAsia="Times New Roman" w:cs="Arial"/>
        </w:rPr>
        <w:t>Information about how to pay the penalty</w:t>
      </w:r>
    </w:p>
    <w:p w:rsidR="00A66901" w:rsidRPr="00A66901" w:rsidRDefault="00A66901" w:rsidP="002B1264">
      <w:pPr>
        <w:numPr>
          <w:ilvl w:val="0"/>
          <w:numId w:val="15"/>
        </w:numPr>
        <w:spacing w:after="0" w:line="240" w:lineRule="auto"/>
        <w:rPr>
          <w:rFonts w:eastAsia="Times New Roman" w:cs="Arial"/>
        </w:rPr>
      </w:pPr>
      <w:r w:rsidRPr="00A66901">
        <w:rPr>
          <w:rFonts w:eastAsia="Times New Roman" w:cs="Arial"/>
        </w:rPr>
        <w:t>The period for payment of the penalty</w:t>
      </w:r>
    </w:p>
    <w:p w:rsidR="00A66901" w:rsidRPr="00A66901" w:rsidRDefault="00A66901" w:rsidP="002B1264">
      <w:pPr>
        <w:numPr>
          <w:ilvl w:val="0"/>
          <w:numId w:val="15"/>
        </w:numPr>
        <w:spacing w:after="0" w:line="240" w:lineRule="auto"/>
        <w:rPr>
          <w:rFonts w:eastAsia="Times New Roman" w:cs="Arial"/>
        </w:rPr>
      </w:pPr>
      <w:r w:rsidRPr="00A66901">
        <w:rPr>
          <w:rFonts w:eastAsia="Times New Roman" w:cs="Arial"/>
        </w:rPr>
        <w:t>Information about rights of appeal to the First Tier Tribunal</w:t>
      </w:r>
    </w:p>
    <w:p w:rsidR="00A66901" w:rsidRPr="00A66901" w:rsidRDefault="00A66901" w:rsidP="002B1264">
      <w:pPr>
        <w:numPr>
          <w:ilvl w:val="0"/>
          <w:numId w:val="15"/>
        </w:numPr>
        <w:spacing w:after="0" w:line="240" w:lineRule="auto"/>
        <w:rPr>
          <w:rFonts w:eastAsia="Times New Roman" w:cs="Arial"/>
        </w:rPr>
      </w:pPr>
      <w:r w:rsidRPr="00A66901">
        <w:rPr>
          <w:rFonts w:eastAsia="Times New Roman" w:cs="Arial"/>
        </w:rPr>
        <w:t>The consequences of failure to comply with the Notice</w:t>
      </w:r>
    </w:p>
    <w:p w:rsidR="00A66901" w:rsidRPr="00A66901" w:rsidRDefault="00A66901" w:rsidP="00A66901">
      <w:pPr>
        <w:spacing w:after="0" w:line="240" w:lineRule="auto"/>
        <w:rPr>
          <w:rFonts w:eastAsia="Times New Roman" w:cs="Arial"/>
        </w:rPr>
      </w:pPr>
    </w:p>
    <w:p w:rsidR="00A66901" w:rsidRPr="00A66901" w:rsidRDefault="00A66901" w:rsidP="002B1264">
      <w:pPr>
        <w:pStyle w:val="NoSpacing"/>
      </w:pPr>
      <w:r w:rsidRPr="00A66901">
        <w:t>Civil penalties are an alternative to criminal proceedings and as such if a penalty is imposed, no criminal proceedings can be initiated for the same offence.</w:t>
      </w:r>
    </w:p>
    <w:p w:rsidR="00A66901" w:rsidRPr="00A66901" w:rsidRDefault="00A66901" w:rsidP="00A66901">
      <w:pPr>
        <w:spacing w:after="0" w:line="240" w:lineRule="auto"/>
        <w:rPr>
          <w:rFonts w:eastAsia="Times New Roman" w:cs="Arial"/>
        </w:rPr>
      </w:pPr>
    </w:p>
    <w:p w:rsidR="00A66901" w:rsidRPr="00A66901" w:rsidRDefault="00A66901" w:rsidP="00A66901">
      <w:pPr>
        <w:spacing w:after="0" w:line="240" w:lineRule="auto"/>
        <w:rPr>
          <w:rFonts w:eastAsia="Times New Roman" w:cs="Arial"/>
        </w:rPr>
      </w:pPr>
      <w:r w:rsidRPr="00A66901">
        <w:rPr>
          <w:rFonts w:eastAsia="Times New Roman" w:cs="Arial"/>
        </w:rPr>
        <w:t>The Council may, at any time:</w:t>
      </w:r>
    </w:p>
    <w:p w:rsidR="00A66901" w:rsidRPr="00A66901" w:rsidRDefault="00A66901" w:rsidP="00A66901">
      <w:pPr>
        <w:numPr>
          <w:ilvl w:val="0"/>
          <w:numId w:val="7"/>
        </w:numPr>
        <w:spacing w:after="0" w:line="240" w:lineRule="auto"/>
        <w:rPr>
          <w:rFonts w:eastAsia="Times New Roman" w:cs="Arial"/>
        </w:rPr>
      </w:pPr>
      <w:r w:rsidRPr="00A66901">
        <w:rPr>
          <w:rFonts w:eastAsia="Times New Roman" w:cs="Arial"/>
        </w:rPr>
        <w:t>Withdraw a Notice of Intent or Final Notice</w:t>
      </w:r>
    </w:p>
    <w:p w:rsidR="00A66901" w:rsidRPr="00A66901" w:rsidRDefault="00A66901" w:rsidP="00A66901">
      <w:pPr>
        <w:numPr>
          <w:ilvl w:val="0"/>
          <w:numId w:val="7"/>
        </w:numPr>
        <w:spacing w:after="0" w:line="240" w:lineRule="auto"/>
        <w:rPr>
          <w:rFonts w:eastAsia="Times New Roman" w:cs="Arial"/>
        </w:rPr>
      </w:pPr>
      <w:r w:rsidRPr="00A66901">
        <w:rPr>
          <w:rFonts w:eastAsia="Times New Roman" w:cs="Arial"/>
        </w:rPr>
        <w:t>Reduce the amount specified in a Notice of Intent or Final Notice</w:t>
      </w:r>
    </w:p>
    <w:p w:rsidR="002B1264" w:rsidRDefault="002B1264" w:rsidP="002B1264">
      <w:pPr>
        <w:spacing w:after="0" w:line="240" w:lineRule="auto"/>
        <w:rPr>
          <w:rFonts w:eastAsia="Times New Roman" w:cs="Arial"/>
        </w:rPr>
      </w:pPr>
    </w:p>
    <w:p w:rsidR="00A66901" w:rsidRPr="00A66901" w:rsidRDefault="00A66901" w:rsidP="002B1264">
      <w:pPr>
        <w:spacing w:after="0" w:line="240" w:lineRule="auto"/>
        <w:rPr>
          <w:rFonts w:eastAsia="Times New Roman" w:cs="Arial"/>
        </w:rPr>
      </w:pPr>
      <w:r w:rsidRPr="00A66901">
        <w:rPr>
          <w:rFonts w:eastAsia="Times New Roman" w:cs="Arial"/>
        </w:rPr>
        <w:t>Where the Council decides to take either action, it will write to the person to whom the Notice was given.</w:t>
      </w:r>
    </w:p>
    <w:p w:rsidR="00A66901" w:rsidRDefault="00A66901" w:rsidP="00A66901">
      <w:pPr>
        <w:spacing w:after="0" w:line="240" w:lineRule="auto"/>
        <w:rPr>
          <w:rFonts w:eastAsia="Times New Roman" w:cs="Arial"/>
        </w:rPr>
      </w:pPr>
    </w:p>
    <w:p w:rsidR="00E1746A" w:rsidRPr="00A66901" w:rsidRDefault="00E1746A" w:rsidP="00E1746A">
      <w:pPr>
        <w:spacing w:after="0" w:line="240" w:lineRule="auto"/>
        <w:ind w:hanging="11"/>
        <w:rPr>
          <w:rFonts w:eastAsia="Times New Roman" w:cs="Arial"/>
          <w:b/>
          <w:sz w:val="24"/>
          <w:szCs w:val="24"/>
        </w:rPr>
      </w:pPr>
      <w:r w:rsidRPr="003821DD">
        <w:rPr>
          <w:rFonts w:eastAsia="Times New Roman" w:cs="Arial"/>
          <w:b/>
          <w:sz w:val="24"/>
          <w:szCs w:val="24"/>
        </w:rPr>
        <w:t>3.</w:t>
      </w:r>
      <w:r>
        <w:rPr>
          <w:rFonts w:eastAsia="Times New Roman" w:cs="Arial"/>
          <w:b/>
          <w:sz w:val="24"/>
          <w:szCs w:val="24"/>
        </w:rPr>
        <w:t>2</w:t>
      </w:r>
      <w:r w:rsidRPr="003821DD">
        <w:rPr>
          <w:rFonts w:eastAsia="Times New Roman" w:cs="Arial"/>
          <w:b/>
          <w:sz w:val="24"/>
          <w:szCs w:val="24"/>
        </w:rPr>
        <w:t xml:space="preserve"> </w:t>
      </w:r>
      <w:r w:rsidRPr="00A66901">
        <w:rPr>
          <w:rFonts w:eastAsia="Times New Roman" w:cs="Arial"/>
          <w:b/>
          <w:sz w:val="24"/>
          <w:szCs w:val="24"/>
        </w:rPr>
        <w:t>Consequences of non-compliance</w:t>
      </w:r>
    </w:p>
    <w:p w:rsidR="00E1746A" w:rsidRPr="00A66901" w:rsidRDefault="00E1746A" w:rsidP="00E1746A">
      <w:pPr>
        <w:spacing w:after="0" w:line="240" w:lineRule="auto"/>
        <w:rPr>
          <w:rFonts w:eastAsia="Times New Roman" w:cs="Arial"/>
        </w:rPr>
      </w:pPr>
    </w:p>
    <w:p w:rsidR="00E1746A" w:rsidRDefault="00E1746A" w:rsidP="00E1746A">
      <w:pPr>
        <w:pStyle w:val="NoSpacing"/>
      </w:pPr>
      <w:r w:rsidRPr="00A66901">
        <w:t>If, after any appeal has been finally determined or withdrawn, a person receiving a civil penalty does not pay all or part of the penalty charge, the Council will recover the penalty by order from a County Court. Where appropriate, the Council will also seek to recover the costs incurred in taking this action from the person to which the civil penalty relates.</w:t>
      </w:r>
    </w:p>
    <w:p w:rsidR="00E1746A" w:rsidRDefault="00E1746A" w:rsidP="00E1746A">
      <w:pPr>
        <w:pStyle w:val="NoSpacing"/>
      </w:pPr>
    </w:p>
    <w:p w:rsidR="003821DD" w:rsidRDefault="003821DD" w:rsidP="00A66901">
      <w:pPr>
        <w:spacing w:after="0" w:line="240" w:lineRule="auto"/>
        <w:rPr>
          <w:rFonts w:eastAsia="Times New Roman" w:cs="Arial"/>
        </w:rPr>
      </w:pPr>
    </w:p>
    <w:p w:rsidR="003821DD" w:rsidRDefault="00E1746A" w:rsidP="00A66901">
      <w:pPr>
        <w:spacing w:after="0" w:line="240" w:lineRule="auto"/>
        <w:rPr>
          <w:rFonts w:eastAsia="Times New Roman" w:cs="Arial"/>
          <w:b/>
          <w:sz w:val="24"/>
          <w:szCs w:val="24"/>
        </w:rPr>
      </w:pPr>
      <w:r>
        <w:rPr>
          <w:rFonts w:eastAsia="Times New Roman" w:cs="Arial"/>
          <w:b/>
          <w:sz w:val="24"/>
          <w:szCs w:val="24"/>
        </w:rPr>
        <w:t>3.3</w:t>
      </w:r>
      <w:r w:rsidR="003821DD" w:rsidRPr="003821DD">
        <w:rPr>
          <w:rFonts w:eastAsia="Times New Roman" w:cs="Arial"/>
          <w:b/>
          <w:sz w:val="24"/>
          <w:szCs w:val="24"/>
        </w:rPr>
        <w:t xml:space="preserve"> </w:t>
      </w:r>
      <w:r w:rsidR="003821DD">
        <w:rPr>
          <w:rFonts w:eastAsia="Times New Roman" w:cs="Arial"/>
          <w:b/>
          <w:sz w:val="24"/>
          <w:szCs w:val="24"/>
        </w:rPr>
        <w:t>Penalty Charging table</w:t>
      </w:r>
      <w:r w:rsidR="003821DD" w:rsidRPr="003821DD">
        <w:rPr>
          <w:rFonts w:eastAsia="Times New Roman" w:cs="Arial"/>
          <w:b/>
          <w:sz w:val="24"/>
          <w:szCs w:val="24"/>
        </w:rPr>
        <w:t xml:space="preserve"> </w:t>
      </w:r>
    </w:p>
    <w:p w:rsidR="003821DD" w:rsidRDefault="003821DD" w:rsidP="00A66901">
      <w:pPr>
        <w:spacing w:after="0" w:line="240" w:lineRule="auto"/>
        <w:rPr>
          <w:rFonts w:eastAsia="Times New Roman" w:cs="Arial"/>
          <w:b/>
          <w:sz w:val="24"/>
          <w:szCs w:val="24"/>
        </w:rPr>
      </w:pPr>
    </w:p>
    <w:p w:rsidR="003821DD" w:rsidRDefault="003821DD" w:rsidP="00A66901">
      <w:pPr>
        <w:spacing w:after="0" w:line="240" w:lineRule="auto"/>
        <w:rPr>
          <w:rFonts w:eastAsia="Times New Roman" w:cs="Arial"/>
          <w:sz w:val="24"/>
          <w:szCs w:val="24"/>
        </w:rPr>
      </w:pPr>
      <w:r w:rsidRPr="003821DD">
        <w:rPr>
          <w:rFonts w:eastAsia="Times New Roman" w:cs="Arial"/>
          <w:sz w:val="24"/>
          <w:szCs w:val="24"/>
        </w:rPr>
        <w:t>The table below will be used to calculate the penalty charge amount</w:t>
      </w:r>
      <w:r>
        <w:rPr>
          <w:rFonts w:eastAsia="Times New Roman" w:cs="Arial"/>
          <w:sz w:val="24"/>
          <w:szCs w:val="24"/>
        </w:rPr>
        <w:t>. Charges are</w:t>
      </w:r>
      <w:r w:rsidR="0014536C">
        <w:rPr>
          <w:rFonts w:eastAsia="Times New Roman" w:cs="Arial"/>
          <w:sz w:val="24"/>
          <w:szCs w:val="24"/>
        </w:rPr>
        <w:t xml:space="preserve"> on a scale, starting at an </w:t>
      </w:r>
      <w:r w:rsidR="00E1215E">
        <w:rPr>
          <w:rFonts w:eastAsia="Times New Roman" w:cs="Arial"/>
          <w:sz w:val="24"/>
          <w:szCs w:val="24"/>
        </w:rPr>
        <w:t>initial</w:t>
      </w:r>
      <w:r w:rsidR="0014536C">
        <w:rPr>
          <w:rFonts w:eastAsia="Times New Roman" w:cs="Arial"/>
          <w:sz w:val="24"/>
          <w:szCs w:val="24"/>
        </w:rPr>
        <w:t xml:space="preserve"> point but will be increased if there are aggravating factors.</w:t>
      </w:r>
    </w:p>
    <w:p w:rsidR="003821DD" w:rsidRDefault="003821DD" w:rsidP="00A66901">
      <w:pPr>
        <w:spacing w:after="0" w:line="240" w:lineRule="auto"/>
        <w:rPr>
          <w:rFonts w:eastAsia="Times New Roman" w:cs="Arial"/>
          <w:b/>
          <w:sz w:val="24"/>
          <w:szCs w:val="24"/>
        </w:rPr>
      </w:pPr>
    </w:p>
    <w:p w:rsidR="003821DD" w:rsidRPr="003821DD" w:rsidRDefault="003821DD" w:rsidP="003821DD">
      <w:pPr>
        <w:widowControl w:val="0"/>
        <w:tabs>
          <w:tab w:val="left" w:pos="452"/>
          <w:tab w:val="left" w:pos="2970"/>
          <w:tab w:val="left" w:pos="3690"/>
        </w:tabs>
        <w:spacing w:after="0" w:line="240" w:lineRule="auto"/>
        <w:jc w:val="center"/>
        <w:rPr>
          <w:rFonts w:eastAsia="Times New Roman" w:cs="Arial"/>
          <w:b/>
          <w:sz w:val="24"/>
          <w:szCs w:val="24"/>
        </w:rPr>
      </w:pPr>
      <w:r w:rsidRPr="003821DD">
        <w:rPr>
          <w:rFonts w:eastAsia="Times New Roman" w:cs="Arial"/>
          <w:b/>
          <w:sz w:val="24"/>
          <w:szCs w:val="24"/>
        </w:rPr>
        <w:t>Charging Table for Determining the Value of Civil Penalties</w:t>
      </w:r>
    </w:p>
    <w:p w:rsidR="003821DD" w:rsidRPr="003821DD" w:rsidRDefault="003821DD" w:rsidP="003821DD">
      <w:pPr>
        <w:widowControl w:val="0"/>
        <w:tabs>
          <w:tab w:val="left" w:pos="452"/>
          <w:tab w:val="left" w:pos="2970"/>
          <w:tab w:val="left" w:pos="3690"/>
        </w:tabs>
        <w:spacing w:after="0" w:line="240" w:lineRule="auto"/>
        <w:jc w:val="center"/>
        <w:rPr>
          <w:rFonts w:eastAsia="Times New Roman"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992"/>
      </w:tblGrid>
      <w:tr w:rsidR="003821DD" w:rsidRPr="003821DD" w:rsidTr="00ED76D1">
        <w:trPr>
          <w:trHeight w:val="300"/>
        </w:trPr>
        <w:tc>
          <w:tcPr>
            <w:tcW w:w="7905" w:type="dxa"/>
            <w:shd w:val="clear" w:color="auto" w:fill="auto"/>
            <w:noWrap/>
            <w:hideMark/>
          </w:tcPr>
          <w:p w:rsidR="003821DD" w:rsidRPr="003821DD" w:rsidRDefault="003821DD" w:rsidP="003821DD">
            <w:pPr>
              <w:tabs>
                <w:tab w:val="right" w:pos="7252"/>
              </w:tabs>
              <w:spacing w:after="0" w:line="240" w:lineRule="auto"/>
              <w:rPr>
                <w:rFonts w:eastAsia="Calibri" w:cs="Arial"/>
                <w:b/>
                <w:bCs/>
                <w:i/>
                <w:sz w:val="24"/>
                <w:szCs w:val="24"/>
              </w:rPr>
            </w:pPr>
            <w:r w:rsidRPr="003821DD">
              <w:rPr>
                <w:rFonts w:eastAsia="Calibri" w:cs="Arial"/>
                <w:b/>
                <w:bCs/>
                <w:i/>
                <w:sz w:val="24"/>
                <w:szCs w:val="24"/>
              </w:rPr>
              <w:t xml:space="preserve">Failure to comply with an Improvement Notice (Section 30)                 </w:t>
            </w:r>
          </w:p>
        </w:tc>
        <w:tc>
          <w:tcPr>
            <w:tcW w:w="992" w:type="dxa"/>
            <w:shd w:val="clear" w:color="auto" w:fill="auto"/>
            <w:noWrap/>
            <w:hideMark/>
          </w:tcPr>
          <w:p w:rsidR="003821DD" w:rsidRPr="003821DD" w:rsidRDefault="003821DD" w:rsidP="003821DD">
            <w:pPr>
              <w:spacing w:after="0" w:line="240" w:lineRule="auto"/>
              <w:jc w:val="center"/>
              <w:rPr>
                <w:rFonts w:eastAsia="Calibri" w:cs="Arial"/>
                <w:i/>
                <w:sz w:val="24"/>
                <w:szCs w:val="24"/>
              </w:rPr>
            </w:pPr>
            <w:r w:rsidRPr="003821DD">
              <w:rPr>
                <w:rFonts w:eastAsia="Calibri" w:cs="Arial"/>
                <w:i/>
                <w:sz w:val="24"/>
                <w:szCs w:val="24"/>
              </w:rPr>
              <w:t>£</w:t>
            </w:r>
          </w:p>
        </w:tc>
      </w:tr>
      <w:tr w:rsidR="003821DD" w:rsidRPr="003821DD" w:rsidTr="00ED76D1">
        <w:trPr>
          <w:trHeight w:val="300"/>
        </w:trPr>
        <w:tc>
          <w:tcPr>
            <w:tcW w:w="7905" w:type="dxa"/>
            <w:shd w:val="clear" w:color="auto" w:fill="auto"/>
            <w:noWrap/>
            <w:hideMark/>
          </w:tcPr>
          <w:p w:rsidR="003821DD" w:rsidRPr="003821DD" w:rsidRDefault="003821DD" w:rsidP="003821DD">
            <w:pPr>
              <w:spacing w:after="0" w:line="240" w:lineRule="auto"/>
              <w:rPr>
                <w:rFonts w:eastAsia="Calibri" w:cs="Arial"/>
                <w:i/>
                <w:sz w:val="24"/>
                <w:szCs w:val="24"/>
              </w:rPr>
            </w:pPr>
            <w:r w:rsidRPr="003821DD">
              <w:rPr>
                <w:rFonts w:eastAsia="Calibri" w:cs="Arial"/>
                <w:i/>
                <w:sz w:val="24"/>
                <w:szCs w:val="24"/>
              </w:rPr>
              <w:t>First offence                                                                (note 1)</w:t>
            </w:r>
          </w:p>
        </w:tc>
        <w:tc>
          <w:tcPr>
            <w:tcW w:w="992" w:type="dxa"/>
            <w:shd w:val="clear" w:color="auto" w:fill="auto"/>
            <w:noWrap/>
            <w:hideMark/>
          </w:tcPr>
          <w:p w:rsidR="003821DD" w:rsidRPr="003821DD" w:rsidRDefault="003821DD" w:rsidP="003821DD">
            <w:pPr>
              <w:spacing w:after="0" w:line="240" w:lineRule="auto"/>
              <w:jc w:val="right"/>
              <w:rPr>
                <w:rFonts w:eastAsia="Calibri" w:cs="Arial"/>
                <w:i/>
                <w:sz w:val="24"/>
                <w:szCs w:val="24"/>
              </w:rPr>
            </w:pPr>
            <w:r w:rsidRPr="003821DD">
              <w:rPr>
                <w:rFonts w:eastAsia="Calibri" w:cs="Arial"/>
                <w:i/>
                <w:sz w:val="24"/>
                <w:szCs w:val="24"/>
              </w:rPr>
              <w:t>5000</w:t>
            </w:r>
          </w:p>
        </w:tc>
      </w:tr>
      <w:tr w:rsidR="003821DD" w:rsidRPr="003821DD" w:rsidTr="00ED76D1">
        <w:trPr>
          <w:trHeight w:val="300"/>
        </w:trPr>
        <w:tc>
          <w:tcPr>
            <w:tcW w:w="7905" w:type="dxa"/>
            <w:shd w:val="clear" w:color="auto" w:fill="auto"/>
            <w:noWrap/>
            <w:hideMark/>
          </w:tcPr>
          <w:p w:rsidR="003821DD" w:rsidRPr="003821DD" w:rsidRDefault="003821DD" w:rsidP="003821DD">
            <w:pPr>
              <w:tabs>
                <w:tab w:val="right" w:pos="7252"/>
              </w:tabs>
              <w:spacing w:after="0" w:line="240" w:lineRule="auto"/>
              <w:rPr>
                <w:rFonts w:eastAsia="Calibri" w:cs="Arial"/>
                <w:i/>
                <w:sz w:val="24"/>
                <w:szCs w:val="24"/>
              </w:rPr>
            </w:pPr>
            <w:r w:rsidRPr="003821DD">
              <w:rPr>
                <w:rFonts w:eastAsia="Calibri" w:cs="Arial"/>
                <w:i/>
                <w:sz w:val="24"/>
                <w:szCs w:val="24"/>
              </w:rPr>
              <w:lastRenderedPageBreak/>
              <w:t>Subsequent second offence by same person/company</w:t>
            </w:r>
            <w:r w:rsidRPr="003821DD">
              <w:rPr>
                <w:rFonts w:eastAsia="Calibri" w:cs="Arial"/>
                <w:i/>
                <w:sz w:val="24"/>
                <w:szCs w:val="24"/>
              </w:rPr>
              <w:tab/>
              <w:t>(note 2)</w:t>
            </w:r>
          </w:p>
        </w:tc>
        <w:tc>
          <w:tcPr>
            <w:tcW w:w="992" w:type="dxa"/>
            <w:shd w:val="clear" w:color="auto" w:fill="auto"/>
            <w:noWrap/>
            <w:hideMark/>
          </w:tcPr>
          <w:p w:rsidR="003821DD" w:rsidRPr="003821DD" w:rsidRDefault="003821DD" w:rsidP="003821DD">
            <w:pPr>
              <w:spacing w:after="0" w:line="240" w:lineRule="auto"/>
              <w:jc w:val="right"/>
              <w:rPr>
                <w:rFonts w:eastAsia="Calibri" w:cs="Arial"/>
                <w:i/>
                <w:sz w:val="24"/>
                <w:szCs w:val="24"/>
              </w:rPr>
            </w:pPr>
            <w:r w:rsidRPr="003821DD">
              <w:rPr>
                <w:rFonts w:eastAsia="Calibri" w:cs="Arial"/>
                <w:i/>
                <w:sz w:val="24"/>
                <w:szCs w:val="24"/>
              </w:rPr>
              <w:t>15000</w:t>
            </w:r>
          </w:p>
        </w:tc>
      </w:tr>
      <w:tr w:rsidR="003821DD" w:rsidRPr="003821DD" w:rsidTr="00ED76D1">
        <w:trPr>
          <w:trHeight w:val="300"/>
        </w:trPr>
        <w:tc>
          <w:tcPr>
            <w:tcW w:w="7905" w:type="dxa"/>
            <w:shd w:val="clear" w:color="auto" w:fill="auto"/>
            <w:noWrap/>
            <w:hideMark/>
          </w:tcPr>
          <w:p w:rsidR="003821DD" w:rsidRPr="003821DD" w:rsidRDefault="003821DD" w:rsidP="003821DD">
            <w:pPr>
              <w:spacing w:after="0" w:line="240" w:lineRule="auto"/>
              <w:rPr>
                <w:rFonts w:eastAsia="Calibri" w:cs="Arial"/>
                <w:i/>
                <w:sz w:val="24"/>
                <w:szCs w:val="24"/>
              </w:rPr>
            </w:pPr>
            <w:r w:rsidRPr="003821DD">
              <w:rPr>
                <w:rFonts w:eastAsia="Calibri" w:cs="Arial"/>
                <w:i/>
                <w:sz w:val="24"/>
                <w:szCs w:val="24"/>
              </w:rPr>
              <w:t>Further subsequent offences by same person/company   (note 7)</w:t>
            </w:r>
          </w:p>
        </w:tc>
        <w:tc>
          <w:tcPr>
            <w:tcW w:w="992" w:type="dxa"/>
            <w:shd w:val="clear" w:color="auto" w:fill="auto"/>
            <w:noWrap/>
            <w:hideMark/>
          </w:tcPr>
          <w:p w:rsidR="003821DD" w:rsidRPr="003821DD" w:rsidRDefault="003821DD" w:rsidP="003821DD">
            <w:pPr>
              <w:spacing w:after="0" w:line="240" w:lineRule="auto"/>
              <w:jc w:val="right"/>
              <w:rPr>
                <w:rFonts w:eastAsia="Calibri" w:cs="Arial"/>
                <w:i/>
                <w:sz w:val="24"/>
                <w:szCs w:val="24"/>
              </w:rPr>
            </w:pPr>
            <w:r w:rsidRPr="003821DD">
              <w:rPr>
                <w:rFonts w:eastAsia="Calibri" w:cs="Arial"/>
                <w:i/>
                <w:sz w:val="24"/>
                <w:szCs w:val="24"/>
              </w:rPr>
              <w:t>25000</w:t>
            </w:r>
          </w:p>
        </w:tc>
      </w:tr>
      <w:tr w:rsidR="003821DD" w:rsidRPr="003821DD" w:rsidTr="00ED76D1">
        <w:trPr>
          <w:trHeight w:val="300"/>
        </w:trPr>
        <w:tc>
          <w:tcPr>
            <w:tcW w:w="7905" w:type="dxa"/>
            <w:shd w:val="clear" w:color="auto" w:fill="auto"/>
            <w:noWrap/>
            <w:hideMark/>
          </w:tcPr>
          <w:p w:rsidR="003821DD" w:rsidRPr="003821DD" w:rsidRDefault="003821DD" w:rsidP="003821DD">
            <w:pPr>
              <w:spacing w:after="0" w:line="240" w:lineRule="auto"/>
              <w:rPr>
                <w:rFonts w:eastAsia="Calibri" w:cs="Arial"/>
                <w:i/>
                <w:sz w:val="24"/>
                <w:szCs w:val="24"/>
              </w:rPr>
            </w:pPr>
            <w:r w:rsidRPr="003821DD">
              <w:rPr>
                <w:rFonts w:eastAsia="Calibri" w:cs="Arial"/>
                <w:i/>
                <w:sz w:val="24"/>
                <w:szCs w:val="24"/>
              </w:rPr>
              <w:t> </w:t>
            </w:r>
          </w:p>
        </w:tc>
        <w:tc>
          <w:tcPr>
            <w:tcW w:w="992" w:type="dxa"/>
            <w:shd w:val="clear" w:color="auto" w:fill="auto"/>
            <w:noWrap/>
            <w:hideMark/>
          </w:tcPr>
          <w:p w:rsidR="003821DD" w:rsidRPr="003821DD" w:rsidRDefault="003821DD" w:rsidP="003821DD">
            <w:pPr>
              <w:spacing w:after="0" w:line="240" w:lineRule="auto"/>
              <w:jc w:val="right"/>
              <w:rPr>
                <w:rFonts w:eastAsia="Calibri" w:cs="Arial"/>
                <w:i/>
                <w:sz w:val="24"/>
                <w:szCs w:val="24"/>
              </w:rPr>
            </w:pPr>
            <w:r w:rsidRPr="003821DD">
              <w:rPr>
                <w:rFonts w:eastAsia="Calibri" w:cs="Arial"/>
                <w:i/>
                <w:sz w:val="24"/>
                <w:szCs w:val="24"/>
              </w:rPr>
              <w:t> </w:t>
            </w:r>
          </w:p>
        </w:tc>
      </w:tr>
      <w:tr w:rsidR="003821DD" w:rsidRPr="003821DD" w:rsidTr="00ED76D1">
        <w:trPr>
          <w:trHeight w:val="300"/>
        </w:trPr>
        <w:tc>
          <w:tcPr>
            <w:tcW w:w="7905" w:type="dxa"/>
            <w:shd w:val="clear" w:color="auto" w:fill="auto"/>
            <w:noWrap/>
            <w:hideMark/>
          </w:tcPr>
          <w:p w:rsidR="003821DD" w:rsidRPr="003821DD" w:rsidRDefault="003821DD" w:rsidP="003821DD">
            <w:pPr>
              <w:tabs>
                <w:tab w:val="right" w:pos="7252"/>
              </w:tabs>
              <w:spacing w:after="0" w:line="240" w:lineRule="auto"/>
              <w:rPr>
                <w:rFonts w:eastAsia="Calibri" w:cs="Arial"/>
                <w:b/>
                <w:bCs/>
                <w:i/>
                <w:sz w:val="24"/>
                <w:szCs w:val="24"/>
              </w:rPr>
            </w:pPr>
            <w:r w:rsidRPr="003821DD">
              <w:rPr>
                <w:rFonts w:eastAsia="Calibri" w:cs="Arial"/>
                <w:b/>
                <w:bCs/>
                <w:i/>
                <w:sz w:val="24"/>
                <w:szCs w:val="24"/>
              </w:rPr>
              <w:t>Premiums (use all that apply)</w:t>
            </w:r>
            <w:r w:rsidRPr="003821DD">
              <w:rPr>
                <w:rFonts w:eastAsia="Calibri" w:cs="Arial"/>
                <w:b/>
                <w:bCs/>
                <w:i/>
                <w:sz w:val="24"/>
                <w:szCs w:val="24"/>
              </w:rPr>
              <w:tab/>
            </w:r>
          </w:p>
        </w:tc>
        <w:tc>
          <w:tcPr>
            <w:tcW w:w="992" w:type="dxa"/>
            <w:shd w:val="clear" w:color="auto" w:fill="auto"/>
            <w:noWrap/>
            <w:hideMark/>
          </w:tcPr>
          <w:p w:rsidR="003821DD" w:rsidRPr="003821DD" w:rsidRDefault="003821DD" w:rsidP="003821DD">
            <w:pPr>
              <w:spacing w:after="0" w:line="240" w:lineRule="auto"/>
              <w:jc w:val="right"/>
              <w:rPr>
                <w:rFonts w:eastAsia="Calibri" w:cs="Arial"/>
                <w:i/>
                <w:sz w:val="24"/>
                <w:szCs w:val="24"/>
              </w:rPr>
            </w:pPr>
            <w:r w:rsidRPr="003821DD">
              <w:rPr>
                <w:rFonts w:eastAsia="Calibri" w:cs="Arial"/>
                <w:i/>
                <w:sz w:val="24"/>
                <w:szCs w:val="24"/>
              </w:rPr>
              <w:t> </w:t>
            </w:r>
          </w:p>
        </w:tc>
      </w:tr>
      <w:tr w:rsidR="003821DD" w:rsidRPr="003821DD" w:rsidTr="00ED76D1">
        <w:trPr>
          <w:trHeight w:val="300"/>
        </w:trPr>
        <w:tc>
          <w:tcPr>
            <w:tcW w:w="7905" w:type="dxa"/>
            <w:shd w:val="clear" w:color="auto" w:fill="auto"/>
            <w:noWrap/>
            <w:hideMark/>
          </w:tcPr>
          <w:p w:rsidR="003821DD" w:rsidRPr="003821DD" w:rsidRDefault="003821DD" w:rsidP="003821DD">
            <w:pPr>
              <w:tabs>
                <w:tab w:val="right" w:pos="7252"/>
              </w:tabs>
              <w:spacing w:after="0" w:line="240" w:lineRule="auto"/>
              <w:rPr>
                <w:rFonts w:eastAsia="Calibri" w:cs="Arial"/>
                <w:i/>
                <w:sz w:val="24"/>
                <w:szCs w:val="24"/>
              </w:rPr>
            </w:pPr>
            <w:r w:rsidRPr="003821DD">
              <w:rPr>
                <w:rFonts w:eastAsia="Calibri" w:cs="Arial"/>
                <w:i/>
                <w:sz w:val="24"/>
                <w:szCs w:val="24"/>
              </w:rPr>
              <w:t>Acts or omissions demonstrating high culpability            (note 8)</w:t>
            </w:r>
          </w:p>
        </w:tc>
        <w:tc>
          <w:tcPr>
            <w:tcW w:w="992" w:type="dxa"/>
            <w:shd w:val="clear" w:color="auto" w:fill="auto"/>
            <w:noWrap/>
            <w:hideMark/>
          </w:tcPr>
          <w:p w:rsidR="003821DD" w:rsidRPr="003821DD" w:rsidRDefault="003821DD" w:rsidP="003821DD">
            <w:pPr>
              <w:spacing w:after="0" w:line="240" w:lineRule="auto"/>
              <w:jc w:val="right"/>
              <w:rPr>
                <w:rFonts w:eastAsia="Calibri" w:cs="Arial"/>
                <w:i/>
                <w:sz w:val="24"/>
                <w:szCs w:val="24"/>
              </w:rPr>
            </w:pPr>
            <w:r w:rsidRPr="003821DD">
              <w:rPr>
                <w:rFonts w:eastAsia="Calibri" w:cs="Arial"/>
                <w:i/>
                <w:sz w:val="24"/>
                <w:szCs w:val="24"/>
              </w:rPr>
              <w:t>+2500</w:t>
            </w:r>
          </w:p>
        </w:tc>
      </w:tr>
      <w:tr w:rsidR="003821DD" w:rsidRPr="003821DD" w:rsidTr="00ED76D1">
        <w:trPr>
          <w:trHeight w:val="300"/>
        </w:trPr>
        <w:tc>
          <w:tcPr>
            <w:tcW w:w="7905" w:type="dxa"/>
            <w:shd w:val="clear" w:color="auto" w:fill="auto"/>
            <w:noWrap/>
            <w:hideMark/>
          </w:tcPr>
          <w:p w:rsidR="003821DD" w:rsidRPr="003821DD" w:rsidRDefault="003821DD" w:rsidP="003821DD">
            <w:pPr>
              <w:tabs>
                <w:tab w:val="right" w:pos="7252"/>
              </w:tabs>
              <w:spacing w:after="0" w:line="240" w:lineRule="auto"/>
              <w:rPr>
                <w:rFonts w:eastAsia="Calibri" w:cs="Arial"/>
                <w:i/>
                <w:sz w:val="24"/>
                <w:szCs w:val="24"/>
              </w:rPr>
            </w:pPr>
            <w:r w:rsidRPr="003821DD">
              <w:rPr>
                <w:rFonts w:eastAsia="Calibri" w:cs="Arial"/>
                <w:i/>
                <w:sz w:val="24"/>
                <w:szCs w:val="24"/>
              </w:rPr>
              <w:t>Large housing portfolio (10+ units of accommodation)</w:t>
            </w:r>
            <w:r w:rsidRPr="003821DD">
              <w:rPr>
                <w:rFonts w:eastAsia="Calibri" w:cs="Arial"/>
                <w:i/>
                <w:sz w:val="24"/>
                <w:szCs w:val="24"/>
              </w:rPr>
              <w:tab/>
            </w:r>
            <w:r w:rsidRPr="003821DD">
              <w:rPr>
                <w:rFonts w:eastAsia="Calibri" w:cs="Arial"/>
                <w:bCs/>
                <w:i/>
                <w:sz w:val="24"/>
                <w:szCs w:val="24"/>
              </w:rPr>
              <w:t>(note 3)</w:t>
            </w:r>
          </w:p>
        </w:tc>
        <w:tc>
          <w:tcPr>
            <w:tcW w:w="992" w:type="dxa"/>
            <w:shd w:val="clear" w:color="auto" w:fill="auto"/>
            <w:noWrap/>
            <w:hideMark/>
          </w:tcPr>
          <w:p w:rsidR="003821DD" w:rsidRPr="003821DD" w:rsidRDefault="003821DD" w:rsidP="003821DD">
            <w:pPr>
              <w:spacing w:after="0" w:line="240" w:lineRule="auto"/>
              <w:jc w:val="right"/>
              <w:rPr>
                <w:rFonts w:eastAsia="Calibri" w:cs="Arial"/>
                <w:i/>
                <w:sz w:val="24"/>
                <w:szCs w:val="24"/>
              </w:rPr>
            </w:pPr>
            <w:r w:rsidRPr="003821DD">
              <w:rPr>
                <w:rFonts w:eastAsia="Calibri" w:cs="Arial"/>
                <w:i/>
                <w:sz w:val="24"/>
                <w:szCs w:val="24"/>
              </w:rPr>
              <w:t>+2500</w:t>
            </w:r>
          </w:p>
        </w:tc>
      </w:tr>
      <w:tr w:rsidR="003821DD" w:rsidRPr="003821DD" w:rsidTr="00ED76D1">
        <w:trPr>
          <w:trHeight w:val="300"/>
        </w:trPr>
        <w:tc>
          <w:tcPr>
            <w:tcW w:w="7905" w:type="dxa"/>
            <w:shd w:val="clear" w:color="auto" w:fill="auto"/>
            <w:noWrap/>
            <w:hideMark/>
          </w:tcPr>
          <w:p w:rsidR="003821DD" w:rsidRPr="003821DD" w:rsidRDefault="003821DD" w:rsidP="003821DD">
            <w:pPr>
              <w:tabs>
                <w:tab w:val="right" w:pos="7252"/>
              </w:tabs>
              <w:spacing w:after="0" w:line="240" w:lineRule="auto"/>
              <w:rPr>
                <w:rFonts w:eastAsia="Calibri" w:cs="Arial"/>
                <w:i/>
                <w:sz w:val="24"/>
                <w:szCs w:val="24"/>
              </w:rPr>
            </w:pPr>
            <w:r w:rsidRPr="003821DD">
              <w:rPr>
                <w:rFonts w:eastAsia="Calibri" w:cs="Arial"/>
                <w:i/>
                <w:sz w:val="24"/>
                <w:szCs w:val="24"/>
              </w:rPr>
              <w:t>Multiple Category 1 or high Category 2 Hazards</w:t>
            </w:r>
            <w:r w:rsidRPr="003821DD">
              <w:rPr>
                <w:rFonts w:eastAsia="Calibri" w:cs="Arial"/>
                <w:i/>
                <w:sz w:val="24"/>
                <w:szCs w:val="24"/>
              </w:rPr>
              <w:tab/>
            </w:r>
            <w:r w:rsidRPr="003821DD">
              <w:rPr>
                <w:rFonts w:eastAsia="Calibri" w:cs="Arial"/>
                <w:bCs/>
                <w:i/>
                <w:sz w:val="24"/>
                <w:szCs w:val="24"/>
              </w:rPr>
              <w:t>(note 4)</w:t>
            </w:r>
          </w:p>
        </w:tc>
        <w:tc>
          <w:tcPr>
            <w:tcW w:w="992" w:type="dxa"/>
            <w:shd w:val="clear" w:color="auto" w:fill="auto"/>
            <w:noWrap/>
            <w:hideMark/>
          </w:tcPr>
          <w:p w:rsidR="003821DD" w:rsidRPr="003821DD" w:rsidRDefault="003821DD" w:rsidP="003821DD">
            <w:pPr>
              <w:spacing w:after="0" w:line="240" w:lineRule="auto"/>
              <w:jc w:val="right"/>
              <w:rPr>
                <w:rFonts w:eastAsia="Calibri" w:cs="Arial"/>
                <w:i/>
                <w:sz w:val="24"/>
                <w:szCs w:val="24"/>
              </w:rPr>
            </w:pPr>
            <w:r w:rsidRPr="003821DD">
              <w:rPr>
                <w:rFonts w:eastAsia="Calibri" w:cs="Arial"/>
                <w:i/>
                <w:sz w:val="24"/>
                <w:szCs w:val="24"/>
              </w:rPr>
              <w:t>+2500</w:t>
            </w:r>
          </w:p>
        </w:tc>
      </w:tr>
      <w:tr w:rsidR="003821DD" w:rsidRPr="003821DD" w:rsidTr="00ED76D1">
        <w:trPr>
          <w:trHeight w:val="300"/>
        </w:trPr>
        <w:tc>
          <w:tcPr>
            <w:tcW w:w="7905" w:type="dxa"/>
            <w:shd w:val="clear" w:color="auto" w:fill="auto"/>
            <w:noWrap/>
            <w:hideMark/>
          </w:tcPr>
          <w:p w:rsidR="003821DD" w:rsidRPr="003821DD" w:rsidRDefault="003821DD" w:rsidP="003821DD">
            <w:pPr>
              <w:spacing w:after="0" w:line="240" w:lineRule="auto"/>
              <w:rPr>
                <w:rFonts w:eastAsia="Calibri" w:cs="Arial"/>
                <w:i/>
                <w:sz w:val="24"/>
                <w:szCs w:val="24"/>
              </w:rPr>
            </w:pPr>
            <w:r w:rsidRPr="003821DD">
              <w:rPr>
                <w:rFonts w:eastAsia="Calibri" w:cs="Arial"/>
                <w:i/>
                <w:sz w:val="24"/>
                <w:szCs w:val="24"/>
              </w:rPr>
              <w:t xml:space="preserve">Vulnerable occupant and/or significant harm occurred as result of housing conditions                                                   </w:t>
            </w:r>
            <w:r w:rsidRPr="003821DD">
              <w:rPr>
                <w:rFonts w:eastAsia="Calibri" w:cs="Arial"/>
                <w:bCs/>
                <w:i/>
                <w:sz w:val="24"/>
                <w:szCs w:val="24"/>
              </w:rPr>
              <w:t>(note 5)</w:t>
            </w:r>
          </w:p>
        </w:tc>
        <w:tc>
          <w:tcPr>
            <w:tcW w:w="992" w:type="dxa"/>
            <w:shd w:val="clear" w:color="auto" w:fill="auto"/>
            <w:noWrap/>
            <w:hideMark/>
          </w:tcPr>
          <w:p w:rsidR="003821DD" w:rsidRPr="003821DD" w:rsidRDefault="003821DD" w:rsidP="003821DD">
            <w:pPr>
              <w:spacing w:after="0" w:line="240" w:lineRule="auto"/>
              <w:jc w:val="right"/>
              <w:rPr>
                <w:rFonts w:eastAsia="Calibri" w:cs="Arial"/>
                <w:i/>
                <w:sz w:val="24"/>
                <w:szCs w:val="24"/>
              </w:rPr>
            </w:pPr>
            <w:r w:rsidRPr="003821DD">
              <w:rPr>
                <w:rFonts w:eastAsia="Calibri" w:cs="Arial"/>
                <w:i/>
                <w:sz w:val="24"/>
                <w:szCs w:val="24"/>
              </w:rPr>
              <w:t>+2500</w:t>
            </w:r>
          </w:p>
        </w:tc>
      </w:tr>
      <w:tr w:rsidR="003821DD" w:rsidRPr="003821DD" w:rsidTr="00ED76D1">
        <w:trPr>
          <w:trHeight w:val="300"/>
        </w:trPr>
        <w:tc>
          <w:tcPr>
            <w:tcW w:w="7905" w:type="dxa"/>
            <w:shd w:val="clear" w:color="auto" w:fill="auto"/>
            <w:noWrap/>
            <w:hideMark/>
          </w:tcPr>
          <w:p w:rsidR="003821DD" w:rsidRPr="003821DD" w:rsidRDefault="003821DD" w:rsidP="003821DD">
            <w:pPr>
              <w:spacing w:after="0" w:line="240" w:lineRule="auto"/>
              <w:rPr>
                <w:rFonts w:eastAsia="Calibri" w:cs="Arial"/>
                <w:i/>
                <w:sz w:val="24"/>
                <w:szCs w:val="24"/>
              </w:rPr>
            </w:pPr>
            <w:r w:rsidRPr="003821DD">
              <w:rPr>
                <w:rFonts w:eastAsia="Calibri" w:cs="Arial"/>
                <w:i/>
                <w:sz w:val="24"/>
                <w:szCs w:val="24"/>
              </w:rPr>
              <w:t xml:space="preserve">Perpetrator demonstrates their income to be less than £440 per week                                                                          </w:t>
            </w:r>
            <w:r w:rsidRPr="003821DD">
              <w:rPr>
                <w:rFonts w:eastAsia="Calibri" w:cs="Arial"/>
                <w:bCs/>
                <w:i/>
                <w:sz w:val="24"/>
                <w:szCs w:val="24"/>
              </w:rPr>
              <w:t>(note 6)</w:t>
            </w:r>
          </w:p>
        </w:tc>
        <w:tc>
          <w:tcPr>
            <w:tcW w:w="992" w:type="dxa"/>
            <w:shd w:val="clear" w:color="auto" w:fill="auto"/>
            <w:noWrap/>
            <w:hideMark/>
          </w:tcPr>
          <w:p w:rsidR="003821DD" w:rsidRPr="003821DD" w:rsidRDefault="003821DD" w:rsidP="003821DD">
            <w:pPr>
              <w:spacing w:after="0" w:line="240" w:lineRule="auto"/>
              <w:jc w:val="right"/>
              <w:rPr>
                <w:rFonts w:eastAsia="Calibri" w:cs="Arial"/>
                <w:i/>
                <w:sz w:val="24"/>
                <w:szCs w:val="24"/>
              </w:rPr>
            </w:pPr>
            <w:r w:rsidRPr="003821DD">
              <w:rPr>
                <w:rFonts w:eastAsia="Calibri" w:cs="Arial"/>
                <w:i/>
                <w:sz w:val="24"/>
                <w:szCs w:val="24"/>
              </w:rPr>
              <w:t>-50%</w:t>
            </w:r>
          </w:p>
        </w:tc>
      </w:tr>
      <w:tr w:rsidR="003821DD" w:rsidRPr="003821DD" w:rsidTr="00895E6D">
        <w:trPr>
          <w:trHeight w:val="315"/>
        </w:trPr>
        <w:tc>
          <w:tcPr>
            <w:tcW w:w="8897" w:type="dxa"/>
            <w:gridSpan w:val="2"/>
            <w:tcBorders>
              <w:left w:val="nil"/>
              <w:right w:val="nil"/>
            </w:tcBorders>
            <w:shd w:val="clear" w:color="auto" w:fill="auto"/>
            <w:noWrap/>
            <w:hideMark/>
          </w:tcPr>
          <w:p w:rsidR="003821DD" w:rsidRPr="003821DD" w:rsidRDefault="003821DD" w:rsidP="003821DD">
            <w:pPr>
              <w:spacing w:after="0" w:line="240" w:lineRule="auto"/>
              <w:rPr>
                <w:rFonts w:eastAsia="Calibri" w:cs="Arial"/>
                <w:i/>
                <w:sz w:val="24"/>
                <w:szCs w:val="24"/>
              </w:rPr>
            </w:pPr>
          </w:p>
        </w:tc>
      </w:tr>
      <w:tr w:rsidR="003821DD" w:rsidRPr="003821DD" w:rsidTr="00ED76D1">
        <w:trPr>
          <w:trHeight w:val="300"/>
        </w:trPr>
        <w:tc>
          <w:tcPr>
            <w:tcW w:w="7905" w:type="dxa"/>
            <w:shd w:val="clear" w:color="auto" w:fill="auto"/>
            <w:noWrap/>
            <w:hideMark/>
          </w:tcPr>
          <w:p w:rsidR="003821DD" w:rsidRPr="003821DD" w:rsidRDefault="003821DD" w:rsidP="003821DD">
            <w:pPr>
              <w:tabs>
                <w:tab w:val="right" w:pos="7252"/>
              </w:tabs>
              <w:spacing w:after="0" w:line="240" w:lineRule="auto"/>
              <w:rPr>
                <w:rFonts w:eastAsia="Calibri" w:cs="Arial"/>
                <w:b/>
                <w:bCs/>
                <w:i/>
                <w:sz w:val="24"/>
                <w:szCs w:val="24"/>
              </w:rPr>
            </w:pPr>
            <w:r w:rsidRPr="003821DD">
              <w:rPr>
                <w:rFonts w:eastAsia="Calibri" w:cs="Arial"/>
                <w:b/>
                <w:bCs/>
                <w:i/>
                <w:sz w:val="24"/>
                <w:szCs w:val="24"/>
              </w:rPr>
              <w:t xml:space="preserve">Offences in relation to licensing of HMOs </w:t>
            </w:r>
            <w:r w:rsidRPr="003821DD">
              <w:rPr>
                <w:rFonts w:eastAsia="Calibri" w:cs="Arial"/>
                <w:b/>
                <w:bCs/>
                <w:i/>
                <w:sz w:val="24"/>
                <w:szCs w:val="24"/>
              </w:rPr>
              <w:tab/>
            </w:r>
            <w:r w:rsidRPr="003821DD">
              <w:rPr>
                <w:rFonts w:eastAsia="Calibri" w:cs="Arial"/>
                <w:b/>
                <w:bCs/>
                <w:i/>
                <w:sz w:val="24"/>
                <w:szCs w:val="24"/>
              </w:rPr>
              <w:tab/>
              <w:t>(note1)</w:t>
            </w:r>
          </w:p>
          <w:p w:rsidR="003821DD" w:rsidRPr="003821DD" w:rsidRDefault="003821DD" w:rsidP="003821DD">
            <w:pPr>
              <w:tabs>
                <w:tab w:val="right" w:pos="7252"/>
              </w:tabs>
              <w:spacing w:after="0" w:line="240" w:lineRule="auto"/>
              <w:rPr>
                <w:rFonts w:eastAsia="Calibri" w:cs="Arial"/>
                <w:b/>
                <w:bCs/>
                <w:i/>
                <w:sz w:val="24"/>
                <w:szCs w:val="24"/>
              </w:rPr>
            </w:pPr>
            <w:r w:rsidRPr="003821DD">
              <w:rPr>
                <w:rFonts w:eastAsia="Calibri" w:cs="Arial"/>
                <w:b/>
                <w:bCs/>
                <w:i/>
                <w:sz w:val="24"/>
                <w:szCs w:val="24"/>
              </w:rPr>
              <w:t>under Part 2 of the Act (Section 72)</w:t>
            </w:r>
            <w:r w:rsidRPr="003821DD">
              <w:rPr>
                <w:rFonts w:eastAsia="Calibri" w:cs="Arial"/>
                <w:b/>
                <w:bCs/>
                <w:i/>
                <w:sz w:val="24"/>
                <w:szCs w:val="24"/>
              </w:rPr>
              <w:tab/>
            </w:r>
          </w:p>
        </w:tc>
        <w:tc>
          <w:tcPr>
            <w:tcW w:w="992" w:type="dxa"/>
            <w:shd w:val="clear" w:color="auto" w:fill="auto"/>
            <w:noWrap/>
            <w:hideMark/>
          </w:tcPr>
          <w:p w:rsidR="003821DD" w:rsidRPr="003821DD" w:rsidRDefault="003821DD" w:rsidP="003821DD">
            <w:pPr>
              <w:spacing w:after="0" w:line="240" w:lineRule="auto"/>
              <w:jc w:val="center"/>
              <w:rPr>
                <w:rFonts w:eastAsia="Calibri" w:cs="Arial"/>
                <w:i/>
                <w:sz w:val="24"/>
                <w:szCs w:val="24"/>
              </w:rPr>
            </w:pPr>
            <w:r w:rsidRPr="003821DD">
              <w:rPr>
                <w:rFonts w:eastAsia="Calibri" w:cs="Arial"/>
                <w:i/>
                <w:sz w:val="24"/>
                <w:szCs w:val="24"/>
              </w:rPr>
              <w:t>£</w:t>
            </w:r>
          </w:p>
        </w:tc>
      </w:tr>
      <w:tr w:rsidR="003821DD" w:rsidRPr="003821DD" w:rsidTr="00ED76D1">
        <w:trPr>
          <w:trHeight w:val="300"/>
        </w:trPr>
        <w:tc>
          <w:tcPr>
            <w:tcW w:w="7905" w:type="dxa"/>
            <w:shd w:val="clear" w:color="auto" w:fill="auto"/>
            <w:noWrap/>
            <w:hideMark/>
          </w:tcPr>
          <w:p w:rsidR="003821DD" w:rsidRPr="003821DD" w:rsidRDefault="003821DD" w:rsidP="003821DD">
            <w:pPr>
              <w:tabs>
                <w:tab w:val="right" w:pos="7252"/>
              </w:tabs>
              <w:spacing w:after="0" w:line="240" w:lineRule="auto"/>
              <w:rPr>
                <w:rFonts w:eastAsia="Calibri" w:cs="Arial"/>
                <w:i/>
                <w:sz w:val="24"/>
                <w:szCs w:val="24"/>
              </w:rPr>
            </w:pPr>
            <w:r w:rsidRPr="003821DD">
              <w:rPr>
                <w:rFonts w:eastAsia="Calibri" w:cs="Arial"/>
                <w:i/>
                <w:sz w:val="24"/>
                <w:szCs w:val="24"/>
              </w:rPr>
              <w:t>Failure to obtain property licence (section 72(1))</w:t>
            </w:r>
            <w:r w:rsidRPr="003821DD">
              <w:rPr>
                <w:rFonts w:eastAsia="Calibri" w:cs="Arial"/>
                <w:i/>
                <w:sz w:val="24"/>
                <w:szCs w:val="24"/>
              </w:rPr>
              <w:tab/>
            </w:r>
            <w:r w:rsidRPr="003821DD">
              <w:rPr>
                <w:rFonts w:eastAsia="Calibri" w:cs="Arial"/>
                <w:bCs/>
                <w:i/>
                <w:sz w:val="24"/>
                <w:szCs w:val="24"/>
              </w:rPr>
              <w:t>(note 1)</w:t>
            </w:r>
          </w:p>
        </w:tc>
        <w:tc>
          <w:tcPr>
            <w:tcW w:w="992" w:type="dxa"/>
            <w:shd w:val="clear" w:color="auto" w:fill="auto"/>
            <w:noWrap/>
            <w:hideMark/>
          </w:tcPr>
          <w:p w:rsidR="003821DD" w:rsidRPr="003821DD" w:rsidRDefault="003821DD" w:rsidP="003821DD">
            <w:pPr>
              <w:spacing w:after="0" w:line="240" w:lineRule="auto"/>
              <w:jc w:val="right"/>
              <w:rPr>
                <w:rFonts w:eastAsia="Calibri" w:cs="Arial"/>
                <w:i/>
                <w:sz w:val="24"/>
                <w:szCs w:val="24"/>
              </w:rPr>
            </w:pPr>
            <w:r w:rsidRPr="003821DD">
              <w:rPr>
                <w:rFonts w:eastAsia="Calibri" w:cs="Arial"/>
                <w:i/>
                <w:sz w:val="24"/>
                <w:szCs w:val="24"/>
              </w:rPr>
              <w:t>10000</w:t>
            </w:r>
          </w:p>
        </w:tc>
      </w:tr>
      <w:tr w:rsidR="003821DD" w:rsidRPr="003821DD" w:rsidTr="00ED76D1">
        <w:trPr>
          <w:trHeight w:val="300"/>
        </w:trPr>
        <w:tc>
          <w:tcPr>
            <w:tcW w:w="7905" w:type="dxa"/>
            <w:shd w:val="clear" w:color="auto" w:fill="auto"/>
            <w:noWrap/>
            <w:hideMark/>
          </w:tcPr>
          <w:p w:rsidR="003821DD" w:rsidRPr="003821DD" w:rsidRDefault="003821DD" w:rsidP="003821DD">
            <w:pPr>
              <w:spacing w:after="0" w:line="240" w:lineRule="auto"/>
              <w:rPr>
                <w:rFonts w:eastAsia="Calibri" w:cs="Arial"/>
                <w:i/>
                <w:sz w:val="24"/>
                <w:szCs w:val="24"/>
              </w:rPr>
            </w:pPr>
            <w:r w:rsidRPr="003821DD">
              <w:rPr>
                <w:rFonts w:eastAsia="Calibri" w:cs="Arial"/>
                <w:i/>
                <w:sz w:val="24"/>
                <w:szCs w:val="24"/>
              </w:rPr>
              <w:t>Subsequent second offence by same person/company    (note 2)</w:t>
            </w:r>
          </w:p>
        </w:tc>
        <w:tc>
          <w:tcPr>
            <w:tcW w:w="992" w:type="dxa"/>
            <w:shd w:val="clear" w:color="auto" w:fill="auto"/>
            <w:noWrap/>
            <w:hideMark/>
          </w:tcPr>
          <w:p w:rsidR="003821DD" w:rsidRPr="003821DD" w:rsidRDefault="003821DD" w:rsidP="003821DD">
            <w:pPr>
              <w:spacing w:after="0" w:line="240" w:lineRule="auto"/>
              <w:jc w:val="right"/>
              <w:rPr>
                <w:rFonts w:eastAsia="Calibri" w:cs="Arial"/>
                <w:i/>
                <w:sz w:val="24"/>
                <w:szCs w:val="24"/>
              </w:rPr>
            </w:pPr>
            <w:r w:rsidRPr="003821DD">
              <w:rPr>
                <w:rFonts w:eastAsia="Calibri" w:cs="Arial"/>
                <w:i/>
                <w:sz w:val="24"/>
                <w:szCs w:val="24"/>
              </w:rPr>
              <w:t>30000</w:t>
            </w:r>
          </w:p>
        </w:tc>
      </w:tr>
      <w:tr w:rsidR="003821DD" w:rsidRPr="003821DD" w:rsidTr="00ED76D1">
        <w:trPr>
          <w:trHeight w:val="300"/>
        </w:trPr>
        <w:tc>
          <w:tcPr>
            <w:tcW w:w="7905" w:type="dxa"/>
            <w:shd w:val="clear" w:color="auto" w:fill="auto"/>
            <w:noWrap/>
            <w:hideMark/>
          </w:tcPr>
          <w:p w:rsidR="003821DD" w:rsidRPr="003821DD" w:rsidRDefault="003821DD" w:rsidP="003821DD">
            <w:pPr>
              <w:tabs>
                <w:tab w:val="right" w:pos="7252"/>
              </w:tabs>
              <w:spacing w:after="0" w:line="240" w:lineRule="auto"/>
              <w:rPr>
                <w:rFonts w:eastAsia="Calibri" w:cs="Arial"/>
                <w:i/>
                <w:sz w:val="24"/>
                <w:szCs w:val="24"/>
              </w:rPr>
            </w:pPr>
            <w:r w:rsidRPr="003821DD">
              <w:rPr>
                <w:rFonts w:eastAsia="Calibri" w:cs="Arial"/>
                <w:i/>
                <w:sz w:val="24"/>
                <w:szCs w:val="24"/>
              </w:rPr>
              <w:t>Perpetrator demonstrates their income to be less than £440 per week</w:t>
            </w:r>
            <w:r w:rsidRPr="003821DD">
              <w:rPr>
                <w:rFonts w:eastAsia="Calibri" w:cs="Arial"/>
                <w:i/>
                <w:sz w:val="24"/>
                <w:szCs w:val="24"/>
              </w:rPr>
              <w:tab/>
            </w:r>
            <w:r w:rsidRPr="003821DD">
              <w:rPr>
                <w:rFonts w:eastAsia="Calibri" w:cs="Arial"/>
                <w:bCs/>
                <w:i/>
                <w:sz w:val="24"/>
                <w:szCs w:val="24"/>
              </w:rPr>
              <w:t>(note 6)</w:t>
            </w:r>
          </w:p>
        </w:tc>
        <w:tc>
          <w:tcPr>
            <w:tcW w:w="992" w:type="dxa"/>
            <w:shd w:val="clear" w:color="auto" w:fill="auto"/>
            <w:noWrap/>
            <w:hideMark/>
          </w:tcPr>
          <w:p w:rsidR="003821DD" w:rsidRPr="003821DD" w:rsidRDefault="003821DD" w:rsidP="003821DD">
            <w:pPr>
              <w:spacing w:after="0" w:line="240" w:lineRule="auto"/>
              <w:jc w:val="right"/>
              <w:rPr>
                <w:rFonts w:eastAsia="Calibri" w:cs="Arial"/>
                <w:i/>
                <w:sz w:val="24"/>
                <w:szCs w:val="24"/>
              </w:rPr>
            </w:pPr>
            <w:r w:rsidRPr="003821DD">
              <w:rPr>
                <w:rFonts w:eastAsia="Calibri" w:cs="Arial"/>
                <w:i/>
                <w:sz w:val="24"/>
                <w:szCs w:val="24"/>
              </w:rPr>
              <w:t>-50%</w:t>
            </w:r>
          </w:p>
        </w:tc>
      </w:tr>
      <w:tr w:rsidR="003821DD" w:rsidRPr="003821DD" w:rsidTr="00ED76D1">
        <w:trPr>
          <w:trHeight w:val="300"/>
        </w:trPr>
        <w:tc>
          <w:tcPr>
            <w:tcW w:w="7905" w:type="dxa"/>
            <w:shd w:val="clear" w:color="auto" w:fill="auto"/>
            <w:noWrap/>
            <w:hideMark/>
          </w:tcPr>
          <w:p w:rsidR="003821DD" w:rsidRPr="003821DD" w:rsidRDefault="003821DD" w:rsidP="003821DD">
            <w:pPr>
              <w:spacing w:after="0" w:line="240" w:lineRule="auto"/>
              <w:rPr>
                <w:rFonts w:eastAsia="Calibri" w:cs="Arial"/>
                <w:i/>
                <w:sz w:val="24"/>
                <w:szCs w:val="24"/>
              </w:rPr>
            </w:pPr>
            <w:r w:rsidRPr="003821DD">
              <w:rPr>
                <w:rFonts w:eastAsia="Calibri" w:cs="Arial"/>
                <w:i/>
                <w:sz w:val="24"/>
                <w:szCs w:val="24"/>
              </w:rPr>
              <w:t> </w:t>
            </w:r>
          </w:p>
        </w:tc>
        <w:tc>
          <w:tcPr>
            <w:tcW w:w="992" w:type="dxa"/>
            <w:shd w:val="clear" w:color="auto" w:fill="auto"/>
            <w:noWrap/>
            <w:hideMark/>
          </w:tcPr>
          <w:p w:rsidR="003821DD" w:rsidRPr="003821DD" w:rsidRDefault="003821DD" w:rsidP="003821DD">
            <w:pPr>
              <w:spacing w:after="0" w:line="240" w:lineRule="auto"/>
              <w:jc w:val="right"/>
              <w:rPr>
                <w:rFonts w:eastAsia="Calibri" w:cs="Arial"/>
                <w:i/>
                <w:sz w:val="24"/>
                <w:szCs w:val="24"/>
              </w:rPr>
            </w:pPr>
            <w:r w:rsidRPr="003821DD">
              <w:rPr>
                <w:rFonts w:eastAsia="Calibri" w:cs="Arial"/>
                <w:i/>
                <w:sz w:val="24"/>
                <w:szCs w:val="24"/>
              </w:rPr>
              <w:t> </w:t>
            </w:r>
          </w:p>
        </w:tc>
      </w:tr>
      <w:tr w:rsidR="003821DD" w:rsidRPr="003821DD" w:rsidTr="00ED76D1">
        <w:trPr>
          <w:trHeight w:val="300"/>
        </w:trPr>
        <w:tc>
          <w:tcPr>
            <w:tcW w:w="7905" w:type="dxa"/>
            <w:shd w:val="clear" w:color="auto" w:fill="auto"/>
            <w:noWrap/>
            <w:hideMark/>
          </w:tcPr>
          <w:p w:rsidR="003821DD" w:rsidRPr="003821DD" w:rsidRDefault="003821DD" w:rsidP="003821DD">
            <w:pPr>
              <w:spacing w:after="0" w:line="240" w:lineRule="auto"/>
              <w:rPr>
                <w:rFonts w:eastAsia="Calibri" w:cs="Arial"/>
                <w:i/>
                <w:sz w:val="24"/>
                <w:szCs w:val="24"/>
              </w:rPr>
            </w:pPr>
            <w:r w:rsidRPr="003821DD">
              <w:rPr>
                <w:rFonts w:eastAsia="Calibri" w:cs="Arial"/>
                <w:i/>
                <w:sz w:val="24"/>
                <w:szCs w:val="24"/>
              </w:rPr>
              <w:t>Breach of licence conditions (Section 72(2) and (3)) - per licence breach</w:t>
            </w:r>
          </w:p>
        </w:tc>
        <w:tc>
          <w:tcPr>
            <w:tcW w:w="992" w:type="dxa"/>
            <w:shd w:val="clear" w:color="auto" w:fill="auto"/>
            <w:noWrap/>
            <w:hideMark/>
          </w:tcPr>
          <w:p w:rsidR="003821DD" w:rsidRPr="003821DD" w:rsidRDefault="003821DD" w:rsidP="003821DD">
            <w:pPr>
              <w:spacing w:after="0" w:line="240" w:lineRule="auto"/>
              <w:jc w:val="right"/>
              <w:rPr>
                <w:rFonts w:eastAsia="Calibri" w:cs="Arial"/>
                <w:i/>
                <w:sz w:val="24"/>
                <w:szCs w:val="24"/>
              </w:rPr>
            </w:pPr>
            <w:r w:rsidRPr="003821DD">
              <w:rPr>
                <w:rFonts w:eastAsia="Calibri" w:cs="Arial"/>
                <w:i/>
                <w:sz w:val="24"/>
                <w:szCs w:val="24"/>
              </w:rPr>
              <w:t>5000</w:t>
            </w:r>
          </w:p>
        </w:tc>
      </w:tr>
      <w:tr w:rsidR="003821DD" w:rsidRPr="003821DD" w:rsidTr="00ED76D1">
        <w:trPr>
          <w:trHeight w:val="315"/>
        </w:trPr>
        <w:tc>
          <w:tcPr>
            <w:tcW w:w="7905" w:type="dxa"/>
            <w:shd w:val="clear" w:color="auto" w:fill="auto"/>
            <w:noWrap/>
            <w:hideMark/>
          </w:tcPr>
          <w:p w:rsidR="003821DD" w:rsidRPr="003821DD" w:rsidRDefault="003821DD" w:rsidP="003821DD">
            <w:pPr>
              <w:tabs>
                <w:tab w:val="right" w:pos="7252"/>
              </w:tabs>
              <w:spacing w:after="0" w:line="240" w:lineRule="auto"/>
              <w:rPr>
                <w:rFonts w:eastAsia="Calibri" w:cs="Arial"/>
                <w:i/>
                <w:sz w:val="24"/>
                <w:szCs w:val="24"/>
              </w:rPr>
            </w:pPr>
            <w:r w:rsidRPr="003821DD">
              <w:rPr>
                <w:rFonts w:eastAsia="Calibri" w:cs="Arial"/>
                <w:i/>
                <w:sz w:val="24"/>
                <w:szCs w:val="24"/>
              </w:rPr>
              <w:t>Perpetrator demonstrates their income to be less than £440 per week</w:t>
            </w:r>
            <w:r w:rsidRPr="003821DD">
              <w:rPr>
                <w:rFonts w:eastAsia="Calibri" w:cs="Arial"/>
                <w:i/>
                <w:sz w:val="24"/>
                <w:szCs w:val="24"/>
              </w:rPr>
              <w:tab/>
            </w:r>
            <w:r w:rsidRPr="003821DD">
              <w:rPr>
                <w:rFonts w:eastAsia="Calibri" w:cs="Arial"/>
                <w:bCs/>
                <w:i/>
                <w:sz w:val="24"/>
                <w:szCs w:val="24"/>
              </w:rPr>
              <w:t>(note 6)</w:t>
            </w:r>
          </w:p>
        </w:tc>
        <w:tc>
          <w:tcPr>
            <w:tcW w:w="992" w:type="dxa"/>
            <w:shd w:val="clear" w:color="auto" w:fill="auto"/>
            <w:noWrap/>
            <w:hideMark/>
          </w:tcPr>
          <w:p w:rsidR="003821DD" w:rsidRPr="003821DD" w:rsidRDefault="003821DD" w:rsidP="003821DD">
            <w:pPr>
              <w:spacing w:after="0" w:line="240" w:lineRule="auto"/>
              <w:jc w:val="right"/>
              <w:rPr>
                <w:rFonts w:eastAsia="Calibri" w:cs="Arial"/>
                <w:i/>
                <w:sz w:val="24"/>
                <w:szCs w:val="24"/>
              </w:rPr>
            </w:pPr>
            <w:r w:rsidRPr="003821DD">
              <w:rPr>
                <w:rFonts w:eastAsia="Calibri" w:cs="Arial"/>
                <w:i/>
                <w:sz w:val="24"/>
                <w:szCs w:val="24"/>
              </w:rPr>
              <w:t>-50%</w:t>
            </w:r>
          </w:p>
        </w:tc>
      </w:tr>
      <w:tr w:rsidR="003821DD" w:rsidRPr="003821DD" w:rsidTr="00895E6D">
        <w:trPr>
          <w:trHeight w:val="315"/>
        </w:trPr>
        <w:tc>
          <w:tcPr>
            <w:tcW w:w="8897" w:type="dxa"/>
            <w:gridSpan w:val="2"/>
            <w:tcBorders>
              <w:left w:val="nil"/>
              <w:right w:val="nil"/>
            </w:tcBorders>
            <w:shd w:val="clear" w:color="auto" w:fill="auto"/>
            <w:noWrap/>
            <w:hideMark/>
          </w:tcPr>
          <w:p w:rsidR="003821DD" w:rsidRPr="003821DD" w:rsidRDefault="003821DD" w:rsidP="003821DD">
            <w:pPr>
              <w:spacing w:after="0" w:line="240" w:lineRule="auto"/>
              <w:rPr>
                <w:rFonts w:eastAsia="Calibri" w:cs="Arial"/>
                <w:i/>
                <w:sz w:val="24"/>
                <w:szCs w:val="24"/>
              </w:rPr>
            </w:pPr>
            <w:r w:rsidRPr="003821DD">
              <w:rPr>
                <w:rFonts w:eastAsia="Calibri" w:cs="Arial"/>
                <w:i/>
                <w:sz w:val="24"/>
                <w:szCs w:val="24"/>
              </w:rPr>
              <w:t> </w:t>
            </w:r>
          </w:p>
        </w:tc>
      </w:tr>
      <w:tr w:rsidR="003821DD" w:rsidRPr="003821DD" w:rsidTr="00ED76D1">
        <w:trPr>
          <w:trHeight w:val="300"/>
        </w:trPr>
        <w:tc>
          <w:tcPr>
            <w:tcW w:w="7905" w:type="dxa"/>
            <w:shd w:val="clear" w:color="auto" w:fill="auto"/>
            <w:noWrap/>
            <w:hideMark/>
          </w:tcPr>
          <w:p w:rsidR="003821DD" w:rsidRPr="003821DD" w:rsidRDefault="003821DD" w:rsidP="003821DD">
            <w:pPr>
              <w:spacing w:after="0" w:line="240" w:lineRule="auto"/>
              <w:rPr>
                <w:rFonts w:eastAsia="Calibri" w:cs="Arial"/>
                <w:b/>
                <w:bCs/>
                <w:i/>
                <w:sz w:val="24"/>
                <w:szCs w:val="24"/>
              </w:rPr>
            </w:pPr>
            <w:r w:rsidRPr="003821DD">
              <w:rPr>
                <w:rFonts w:eastAsia="Calibri" w:cs="Arial"/>
                <w:b/>
                <w:bCs/>
                <w:i/>
                <w:sz w:val="24"/>
                <w:szCs w:val="24"/>
              </w:rPr>
              <w:t xml:space="preserve">Offences in relation to licensing of HMOs </w:t>
            </w:r>
          </w:p>
          <w:p w:rsidR="003821DD" w:rsidRPr="003821DD" w:rsidRDefault="003821DD" w:rsidP="003821DD">
            <w:pPr>
              <w:tabs>
                <w:tab w:val="left" w:pos="6975"/>
                <w:tab w:val="right" w:pos="7252"/>
              </w:tabs>
              <w:spacing w:after="0" w:line="240" w:lineRule="auto"/>
              <w:rPr>
                <w:rFonts w:eastAsia="Calibri" w:cs="Arial"/>
                <w:b/>
                <w:bCs/>
                <w:i/>
                <w:sz w:val="24"/>
                <w:szCs w:val="24"/>
              </w:rPr>
            </w:pPr>
            <w:r w:rsidRPr="003821DD">
              <w:rPr>
                <w:rFonts w:eastAsia="Calibri" w:cs="Arial"/>
                <w:b/>
                <w:bCs/>
                <w:i/>
                <w:sz w:val="24"/>
                <w:szCs w:val="24"/>
              </w:rPr>
              <w:t xml:space="preserve">under Part 3 of the Act (Section 95)                                                          </w:t>
            </w:r>
          </w:p>
        </w:tc>
        <w:tc>
          <w:tcPr>
            <w:tcW w:w="992" w:type="dxa"/>
            <w:shd w:val="clear" w:color="auto" w:fill="auto"/>
            <w:noWrap/>
            <w:hideMark/>
          </w:tcPr>
          <w:p w:rsidR="003821DD" w:rsidRPr="003821DD" w:rsidRDefault="003821DD" w:rsidP="003821DD">
            <w:pPr>
              <w:spacing w:after="0" w:line="240" w:lineRule="auto"/>
              <w:jc w:val="center"/>
              <w:rPr>
                <w:rFonts w:eastAsia="Calibri" w:cs="Arial"/>
                <w:i/>
                <w:sz w:val="24"/>
                <w:szCs w:val="24"/>
              </w:rPr>
            </w:pPr>
            <w:r w:rsidRPr="003821DD">
              <w:rPr>
                <w:rFonts w:eastAsia="Calibri" w:cs="Arial"/>
                <w:i/>
                <w:sz w:val="24"/>
                <w:szCs w:val="24"/>
              </w:rPr>
              <w:t>£</w:t>
            </w:r>
          </w:p>
        </w:tc>
      </w:tr>
      <w:tr w:rsidR="003821DD" w:rsidRPr="003821DD" w:rsidTr="00ED76D1">
        <w:trPr>
          <w:trHeight w:val="300"/>
        </w:trPr>
        <w:tc>
          <w:tcPr>
            <w:tcW w:w="7905" w:type="dxa"/>
            <w:shd w:val="clear" w:color="auto" w:fill="auto"/>
            <w:noWrap/>
            <w:hideMark/>
          </w:tcPr>
          <w:p w:rsidR="003821DD" w:rsidRPr="003821DD" w:rsidRDefault="003821DD" w:rsidP="003821DD">
            <w:pPr>
              <w:tabs>
                <w:tab w:val="right" w:pos="7252"/>
              </w:tabs>
              <w:spacing w:after="0" w:line="240" w:lineRule="auto"/>
              <w:rPr>
                <w:rFonts w:eastAsia="Calibri" w:cs="Arial"/>
                <w:b/>
                <w:bCs/>
                <w:i/>
                <w:sz w:val="24"/>
                <w:szCs w:val="24"/>
              </w:rPr>
            </w:pPr>
            <w:r w:rsidRPr="003821DD">
              <w:rPr>
                <w:rFonts w:eastAsia="Calibri" w:cs="Arial"/>
                <w:bCs/>
                <w:i/>
                <w:sz w:val="24"/>
                <w:szCs w:val="24"/>
              </w:rPr>
              <w:t>Failure to licence (section 95(1))</w:t>
            </w:r>
            <w:r w:rsidRPr="003821DD">
              <w:rPr>
                <w:rFonts w:eastAsia="Calibri" w:cs="Arial"/>
                <w:b/>
                <w:bCs/>
                <w:i/>
                <w:sz w:val="24"/>
                <w:szCs w:val="24"/>
              </w:rPr>
              <w:tab/>
            </w:r>
            <w:r w:rsidRPr="003821DD">
              <w:rPr>
                <w:rFonts w:eastAsia="Calibri" w:cs="Arial"/>
                <w:i/>
                <w:sz w:val="24"/>
                <w:szCs w:val="24"/>
              </w:rPr>
              <w:t>(note 1)</w:t>
            </w:r>
          </w:p>
        </w:tc>
        <w:tc>
          <w:tcPr>
            <w:tcW w:w="992" w:type="dxa"/>
            <w:shd w:val="clear" w:color="auto" w:fill="auto"/>
            <w:noWrap/>
            <w:hideMark/>
          </w:tcPr>
          <w:p w:rsidR="003821DD" w:rsidRPr="003821DD" w:rsidRDefault="003821DD" w:rsidP="003821DD">
            <w:pPr>
              <w:spacing w:after="0" w:line="240" w:lineRule="auto"/>
              <w:jc w:val="right"/>
              <w:rPr>
                <w:rFonts w:eastAsia="Calibri" w:cs="Arial"/>
                <w:i/>
                <w:sz w:val="24"/>
                <w:szCs w:val="24"/>
              </w:rPr>
            </w:pPr>
            <w:r w:rsidRPr="003821DD">
              <w:rPr>
                <w:rFonts w:eastAsia="Calibri" w:cs="Arial"/>
                <w:i/>
                <w:sz w:val="24"/>
                <w:szCs w:val="24"/>
              </w:rPr>
              <w:t>10000</w:t>
            </w:r>
          </w:p>
        </w:tc>
      </w:tr>
      <w:tr w:rsidR="003821DD" w:rsidRPr="003821DD" w:rsidTr="00ED76D1">
        <w:trPr>
          <w:trHeight w:val="300"/>
        </w:trPr>
        <w:tc>
          <w:tcPr>
            <w:tcW w:w="7905" w:type="dxa"/>
            <w:shd w:val="clear" w:color="auto" w:fill="auto"/>
            <w:noWrap/>
            <w:hideMark/>
          </w:tcPr>
          <w:p w:rsidR="003821DD" w:rsidRPr="003821DD" w:rsidRDefault="003821DD" w:rsidP="003821DD">
            <w:pPr>
              <w:tabs>
                <w:tab w:val="right" w:pos="7252"/>
              </w:tabs>
              <w:spacing w:after="0" w:line="240" w:lineRule="auto"/>
              <w:rPr>
                <w:rFonts w:eastAsia="Calibri" w:cs="Arial"/>
                <w:b/>
                <w:bCs/>
                <w:i/>
                <w:sz w:val="24"/>
                <w:szCs w:val="24"/>
              </w:rPr>
            </w:pPr>
            <w:r w:rsidRPr="003821DD">
              <w:rPr>
                <w:rFonts w:eastAsia="Calibri" w:cs="Arial"/>
                <w:i/>
                <w:sz w:val="24"/>
                <w:szCs w:val="24"/>
              </w:rPr>
              <w:t>Subsequent second offence by same person/company</w:t>
            </w:r>
            <w:r w:rsidRPr="003821DD">
              <w:rPr>
                <w:rFonts w:eastAsia="Calibri" w:cs="Arial"/>
                <w:i/>
                <w:sz w:val="24"/>
                <w:szCs w:val="24"/>
              </w:rPr>
              <w:tab/>
            </w:r>
            <w:r w:rsidRPr="003821DD">
              <w:rPr>
                <w:rFonts w:eastAsia="Calibri" w:cs="Arial"/>
                <w:bCs/>
                <w:i/>
                <w:sz w:val="24"/>
                <w:szCs w:val="24"/>
              </w:rPr>
              <w:t>(note 2)</w:t>
            </w:r>
          </w:p>
        </w:tc>
        <w:tc>
          <w:tcPr>
            <w:tcW w:w="992" w:type="dxa"/>
            <w:shd w:val="clear" w:color="auto" w:fill="auto"/>
            <w:noWrap/>
            <w:hideMark/>
          </w:tcPr>
          <w:p w:rsidR="003821DD" w:rsidRPr="003821DD" w:rsidRDefault="003821DD" w:rsidP="003821DD">
            <w:pPr>
              <w:spacing w:after="0" w:line="240" w:lineRule="auto"/>
              <w:jc w:val="right"/>
              <w:rPr>
                <w:rFonts w:eastAsia="Calibri" w:cs="Arial"/>
                <w:i/>
                <w:sz w:val="24"/>
                <w:szCs w:val="24"/>
              </w:rPr>
            </w:pPr>
            <w:r w:rsidRPr="003821DD">
              <w:rPr>
                <w:rFonts w:eastAsia="Calibri" w:cs="Arial"/>
                <w:i/>
                <w:sz w:val="24"/>
                <w:szCs w:val="24"/>
              </w:rPr>
              <w:t>30000</w:t>
            </w:r>
          </w:p>
        </w:tc>
      </w:tr>
      <w:tr w:rsidR="003821DD" w:rsidRPr="003821DD" w:rsidTr="00ED76D1">
        <w:trPr>
          <w:trHeight w:val="300"/>
        </w:trPr>
        <w:tc>
          <w:tcPr>
            <w:tcW w:w="7905" w:type="dxa"/>
            <w:shd w:val="clear" w:color="auto" w:fill="auto"/>
            <w:noWrap/>
            <w:hideMark/>
          </w:tcPr>
          <w:p w:rsidR="003821DD" w:rsidRPr="003821DD" w:rsidRDefault="003821DD" w:rsidP="003821DD">
            <w:pPr>
              <w:tabs>
                <w:tab w:val="right" w:pos="7252"/>
              </w:tabs>
              <w:spacing w:after="0" w:line="240" w:lineRule="auto"/>
              <w:rPr>
                <w:rFonts w:eastAsia="Calibri" w:cs="Arial"/>
                <w:i/>
                <w:sz w:val="24"/>
                <w:szCs w:val="24"/>
              </w:rPr>
            </w:pPr>
            <w:r w:rsidRPr="003821DD">
              <w:rPr>
                <w:rFonts w:eastAsia="Calibri" w:cs="Arial"/>
                <w:i/>
                <w:sz w:val="24"/>
                <w:szCs w:val="24"/>
              </w:rPr>
              <w:t>Perpetrator demonstrates their income to be less than £440 per week</w:t>
            </w:r>
            <w:r w:rsidRPr="003821DD">
              <w:rPr>
                <w:rFonts w:eastAsia="Calibri" w:cs="Arial"/>
                <w:i/>
                <w:sz w:val="24"/>
                <w:szCs w:val="24"/>
              </w:rPr>
              <w:tab/>
            </w:r>
            <w:r w:rsidRPr="003821DD">
              <w:rPr>
                <w:rFonts w:eastAsia="Calibri" w:cs="Arial"/>
                <w:bCs/>
                <w:i/>
                <w:sz w:val="24"/>
                <w:szCs w:val="24"/>
              </w:rPr>
              <w:t>(note 6)</w:t>
            </w:r>
          </w:p>
        </w:tc>
        <w:tc>
          <w:tcPr>
            <w:tcW w:w="992" w:type="dxa"/>
            <w:shd w:val="clear" w:color="auto" w:fill="auto"/>
            <w:noWrap/>
            <w:hideMark/>
          </w:tcPr>
          <w:p w:rsidR="003821DD" w:rsidRPr="003821DD" w:rsidRDefault="003821DD" w:rsidP="003821DD">
            <w:pPr>
              <w:spacing w:after="0" w:line="240" w:lineRule="auto"/>
              <w:jc w:val="right"/>
              <w:rPr>
                <w:rFonts w:eastAsia="Calibri" w:cs="Arial"/>
                <w:i/>
                <w:sz w:val="24"/>
                <w:szCs w:val="24"/>
              </w:rPr>
            </w:pPr>
            <w:r w:rsidRPr="003821DD">
              <w:rPr>
                <w:rFonts w:eastAsia="Calibri" w:cs="Arial"/>
                <w:i/>
                <w:sz w:val="24"/>
                <w:szCs w:val="24"/>
              </w:rPr>
              <w:t>-50%</w:t>
            </w:r>
          </w:p>
        </w:tc>
      </w:tr>
      <w:tr w:rsidR="003821DD" w:rsidRPr="003821DD" w:rsidTr="00ED76D1">
        <w:trPr>
          <w:trHeight w:val="300"/>
        </w:trPr>
        <w:tc>
          <w:tcPr>
            <w:tcW w:w="7905" w:type="dxa"/>
            <w:shd w:val="clear" w:color="auto" w:fill="auto"/>
            <w:noWrap/>
            <w:hideMark/>
          </w:tcPr>
          <w:p w:rsidR="003821DD" w:rsidRPr="003821DD" w:rsidRDefault="003821DD" w:rsidP="003821DD">
            <w:pPr>
              <w:spacing w:after="0" w:line="240" w:lineRule="auto"/>
              <w:rPr>
                <w:rFonts w:eastAsia="Calibri" w:cs="Arial"/>
                <w:i/>
                <w:sz w:val="24"/>
                <w:szCs w:val="24"/>
              </w:rPr>
            </w:pPr>
            <w:r w:rsidRPr="003821DD">
              <w:rPr>
                <w:rFonts w:eastAsia="Calibri" w:cs="Arial"/>
                <w:i/>
                <w:sz w:val="24"/>
                <w:szCs w:val="24"/>
              </w:rPr>
              <w:t>Breach of licence conditions (Section 95(2)) - per licence breach</w:t>
            </w:r>
          </w:p>
        </w:tc>
        <w:tc>
          <w:tcPr>
            <w:tcW w:w="992" w:type="dxa"/>
            <w:shd w:val="clear" w:color="auto" w:fill="auto"/>
            <w:noWrap/>
            <w:hideMark/>
          </w:tcPr>
          <w:p w:rsidR="003821DD" w:rsidRPr="003821DD" w:rsidRDefault="003821DD" w:rsidP="003821DD">
            <w:pPr>
              <w:spacing w:after="0" w:line="240" w:lineRule="auto"/>
              <w:jc w:val="right"/>
              <w:rPr>
                <w:rFonts w:eastAsia="Calibri" w:cs="Arial"/>
                <w:i/>
                <w:sz w:val="24"/>
                <w:szCs w:val="24"/>
              </w:rPr>
            </w:pPr>
            <w:r w:rsidRPr="003821DD">
              <w:rPr>
                <w:rFonts w:eastAsia="Calibri" w:cs="Arial"/>
                <w:i/>
                <w:sz w:val="24"/>
                <w:szCs w:val="24"/>
              </w:rPr>
              <w:t>5000</w:t>
            </w:r>
          </w:p>
        </w:tc>
      </w:tr>
      <w:tr w:rsidR="003821DD" w:rsidRPr="003821DD" w:rsidTr="00ED76D1">
        <w:trPr>
          <w:trHeight w:val="315"/>
        </w:trPr>
        <w:tc>
          <w:tcPr>
            <w:tcW w:w="7905" w:type="dxa"/>
            <w:shd w:val="clear" w:color="auto" w:fill="auto"/>
            <w:noWrap/>
            <w:hideMark/>
          </w:tcPr>
          <w:p w:rsidR="003821DD" w:rsidRPr="003821DD" w:rsidRDefault="003821DD" w:rsidP="003821DD">
            <w:pPr>
              <w:tabs>
                <w:tab w:val="right" w:pos="7252"/>
              </w:tabs>
              <w:spacing w:after="0" w:line="240" w:lineRule="auto"/>
              <w:rPr>
                <w:rFonts w:eastAsia="Calibri" w:cs="Arial"/>
                <w:i/>
                <w:sz w:val="24"/>
                <w:szCs w:val="24"/>
              </w:rPr>
            </w:pPr>
            <w:r w:rsidRPr="003821DD">
              <w:rPr>
                <w:rFonts w:eastAsia="Calibri" w:cs="Arial"/>
                <w:i/>
                <w:sz w:val="24"/>
                <w:szCs w:val="24"/>
              </w:rPr>
              <w:t>Perpetrator demonstrates their income to be less than £440 per week</w:t>
            </w:r>
            <w:r w:rsidRPr="003821DD">
              <w:rPr>
                <w:rFonts w:eastAsia="Calibri" w:cs="Arial"/>
                <w:i/>
                <w:sz w:val="24"/>
                <w:szCs w:val="24"/>
              </w:rPr>
              <w:tab/>
            </w:r>
            <w:r w:rsidR="00ED76D1">
              <w:rPr>
                <w:rFonts w:eastAsia="Calibri" w:cs="Arial"/>
                <w:i/>
                <w:sz w:val="24"/>
                <w:szCs w:val="24"/>
              </w:rPr>
              <w:t xml:space="preserve"> </w:t>
            </w:r>
            <w:r w:rsidRPr="003821DD">
              <w:rPr>
                <w:rFonts w:eastAsia="Calibri" w:cs="Arial"/>
                <w:bCs/>
                <w:i/>
                <w:sz w:val="24"/>
                <w:szCs w:val="24"/>
              </w:rPr>
              <w:t>(note 6)</w:t>
            </w:r>
          </w:p>
        </w:tc>
        <w:tc>
          <w:tcPr>
            <w:tcW w:w="992" w:type="dxa"/>
            <w:shd w:val="clear" w:color="auto" w:fill="auto"/>
            <w:noWrap/>
            <w:hideMark/>
          </w:tcPr>
          <w:p w:rsidR="003821DD" w:rsidRPr="003821DD" w:rsidRDefault="003821DD" w:rsidP="003821DD">
            <w:pPr>
              <w:spacing w:after="0" w:line="240" w:lineRule="auto"/>
              <w:jc w:val="right"/>
              <w:rPr>
                <w:rFonts w:eastAsia="Calibri" w:cs="Arial"/>
                <w:i/>
                <w:sz w:val="24"/>
                <w:szCs w:val="24"/>
              </w:rPr>
            </w:pPr>
            <w:r w:rsidRPr="003821DD">
              <w:rPr>
                <w:rFonts w:eastAsia="Calibri" w:cs="Arial"/>
                <w:i/>
                <w:sz w:val="24"/>
                <w:szCs w:val="24"/>
              </w:rPr>
              <w:t>-50%</w:t>
            </w:r>
          </w:p>
        </w:tc>
      </w:tr>
      <w:tr w:rsidR="003821DD" w:rsidRPr="003821DD" w:rsidTr="00895E6D">
        <w:trPr>
          <w:trHeight w:val="315"/>
        </w:trPr>
        <w:tc>
          <w:tcPr>
            <w:tcW w:w="8897" w:type="dxa"/>
            <w:gridSpan w:val="2"/>
            <w:tcBorders>
              <w:left w:val="nil"/>
              <w:right w:val="nil"/>
            </w:tcBorders>
            <w:shd w:val="clear" w:color="auto" w:fill="auto"/>
            <w:noWrap/>
            <w:hideMark/>
          </w:tcPr>
          <w:p w:rsidR="003821DD" w:rsidRPr="003821DD" w:rsidRDefault="003821DD" w:rsidP="003821DD">
            <w:pPr>
              <w:spacing w:after="0" w:line="240" w:lineRule="auto"/>
              <w:rPr>
                <w:rFonts w:eastAsia="Calibri" w:cs="Arial"/>
                <w:i/>
                <w:sz w:val="24"/>
                <w:szCs w:val="24"/>
              </w:rPr>
            </w:pPr>
            <w:r w:rsidRPr="003821DD">
              <w:rPr>
                <w:rFonts w:eastAsia="Calibri" w:cs="Arial"/>
                <w:i/>
                <w:sz w:val="24"/>
                <w:szCs w:val="24"/>
              </w:rPr>
              <w:t> </w:t>
            </w:r>
          </w:p>
        </w:tc>
      </w:tr>
      <w:tr w:rsidR="003821DD" w:rsidRPr="003821DD" w:rsidTr="00ED76D1">
        <w:trPr>
          <w:trHeight w:val="300"/>
        </w:trPr>
        <w:tc>
          <w:tcPr>
            <w:tcW w:w="7905" w:type="dxa"/>
            <w:shd w:val="clear" w:color="auto" w:fill="auto"/>
            <w:noWrap/>
            <w:hideMark/>
          </w:tcPr>
          <w:p w:rsidR="003821DD" w:rsidRPr="003821DD" w:rsidRDefault="003821DD" w:rsidP="003821DD">
            <w:pPr>
              <w:tabs>
                <w:tab w:val="left" w:pos="7162"/>
                <w:tab w:val="right" w:pos="7252"/>
              </w:tabs>
              <w:spacing w:after="0" w:line="240" w:lineRule="auto"/>
              <w:rPr>
                <w:rFonts w:eastAsia="Calibri" w:cs="Arial"/>
                <w:b/>
                <w:bCs/>
                <w:i/>
                <w:sz w:val="24"/>
                <w:szCs w:val="24"/>
              </w:rPr>
            </w:pPr>
            <w:r w:rsidRPr="003821DD">
              <w:rPr>
                <w:rFonts w:eastAsia="Calibri" w:cs="Arial"/>
                <w:b/>
                <w:bCs/>
                <w:i/>
                <w:sz w:val="24"/>
                <w:szCs w:val="24"/>
              </w:rPr>
              <w:t xml:space="preserve">Offences of contravention of an overcrowding notice (section 139)     </w:t>
            </w:r>
          </w:p>
        </w:tc>
        <w:tc>
          <w:tcPr>
            <w:tcW w:w="992" w:type="dxa"/>
            <w:shd w:val="clear" w:color="auto" w:fill="auto"/>
            <w:noWrap/>
            <w:hideMark/>
          </w:tcPr>
          <w:p w:rsidR="003821DD" w:rsidRPr="003821DD" w:rsidRDefault="003821DD" w:rsidP="003821DD">
            <w:pPr>
              <w:spacing w:after="0" w:line="240" w:lineRule="auto"/>
              <w:jc w:val="center"/>
              <w:rPr>
                <w:rFonts w:eastAsia="Calibri" w:cs="Arial"/>
                <w:i/>
                <w:sz w:val="24"/>
                <w:szCs w:val="24"/>
              </w:rPr>
            </w:pPr>
            <w:r w:rsidRPr="003821DD">
              <w:rPr>
                <w:rFonts w:eastAsia="Calibri" w:cs="Arial"/>
                <w:i/>
                <w:sz w:val="24"/>
                <w:szCs w:val="24"/>
              </w:rPr>
              <w:t>£</w:t>
            </w:r>
          </w:p>
        </w:tc>
      </w:tr>
      <w:tr w:rsidR="003821DD" w:rsidRPr="003821DD" w:rsidTr="00ED76D1">
        <w:trPr>
          <w:trHeight w:val="300"/>
        </w:trPr>
        <w:tc>
          <w:tcPr>
            <w:tcW w:w="7905" w:type="dxa"/>
            <w:shd w:val="clear" w:color="auto" w:fill="auto"/>
            <w:noWrap/>
            <w:hideMark/>
          </w:tcPr>
          <w:p w:rsidR="003821DD" w:rsidRPr="003821DD" w:rsidRDefault="003821DD" w:rsidP="003821DD">
            <w:pPr>
              <w:tabs>
                <w:tab w:val="right" w:pos="7252"/>
              </w:tabs>
              <w:spacing w:after="0" w:line="240" w:lineRule="auto"/>
              <w:rPr>
                <w:rFonts w:eastAsia="Calibri" w:cs="Arial"/>
                <w:i/>
                <w:sz w:val="24"/>
                <w:szCs w:val="24"/>
              </w:rPr>
            </w:pPr>
            <w:r w:rsidRPr="003821DD">
              <w:rPr>
                <w:rFonts w:eastAsia="Calibri" w:cs="Arial"/>
                <w:i/>
                <w:sz w:val="24"/>
                <w:szCs w:val="24"/>
              </w:rPr>
              <w:t>Fir</w:t>
            </w:r>
            <w:r w:rsidR="00ED76D1">
              <w:rPr>
                <w:rFonts w:eastAsia="Calibri" w:cs="Arial"/>
                <w:i/>
                <w:sz w:val="24"/>
                <w:szCs w:val="24"/>
              </w:rPr>
              <w:t xml:space="preserve">st relevant offence                                                              </w:t>
            </w:r>
            <w:r w:rsidRPr="003821DD">
              <w:rPr>
                <w:rFonts w:eastAsia="Calibri" w:cs="Arial"/>
                <w:i/>
                <w:sz w:val="24"/>
                <w:szCs w:val="24"/>
              </w:rPr>
              <w:t>(note 1)</w:t>
            </w:r>
          </w:p>
        </w:tc>
        <w:tc>
          <w:tcPr>
            <w:tcW w:w="992" w:type="dxa"/>
            <w:shd w:val="clear" w:color="auto" w:fill="auto"/>
            <w:noWrap/>
            <w:hideMark/>
          </w:tcPr>
          <w:p w:rsidR="003821DD" w:rsidRPr="003821DD" w:rsidRDefault="003821DD" w:rsidP="003821DD">
            <w:pPr>
              <w:spacing w:after="0" w:line="240" w:lineRule="auto"/>
              <w:jc w:val="right"/>
              <w:rPr>
                <w:rFonts w:eastAsia="Calibri" w:cs="Arial"/>
                <w:i/>
                <w:sz w:val="24"/>
                <w:szCs w:val="24"/>
              </w:rPr>
            </w:pPr>
            <w:r w:rsidRPr="003821DD">
              <w:rPr>
                <w:rFonts w:eastAsia="Calibri" w:cs="Arial"/>
                <w:i/>
                <w:sz w:val="24"/>
                <w:szCs w:val="24"/>
              </w:rPr>
              <w:t>5000</w:t>
            </w:r>
          </w:p>
        </w:tc>
      </w:tr>
      <w:tr w:rsidR="003821DD" w:rsidRPr="003821DD" w:rsidTr="00ED76D1">
        <w:trPr>
          <w:trHeight w:val="300"/>
        </w:trPr>
        <w:tc>
          <w:tcPr>
            <w:tcW w:w="7905" w:type="dxa"/>
            <w:shd w:val="clear" w:color="auto" w:fill="auto"/>
            <w:noWrap/>
            <w:hideMark/>
          </w:tcPr>
          <w:p w:rsidR="003821DD" w:rsidRPr="003821DD" w:rsidRDefault="003821DD" w:rsidP="003821DD">
            <w:pPr>
              <w:spacing w:after="0" w:line="240" w:lineRule="auto"/>
              <w:rPr>
                <w:rFonts w:eastAsia="Calibri" w:cs="Arial"/>
                <w:i/>
                <w:sz w:val="24"/>
                <w:szCs w:val="24"/>
              </w:rPr>
            </w:pPr>
            <w:r w:rsidRPr="003821DD">
              <w:rPr>
                <w:rFonts w:eastAsia="Calibri" w:cs="Arial"/>
                <w:i/>
                <w:sz w:val="24"/>
                <w:szCs w:val="24"/>
              </w:rPr>
              <w:t xml:space="preserve">Subsequent second offence by same person/company    </w:t>
            </w:r>
            <w:r w:rsidRPr="003821DD">
              <w:rPr>
                <w:rFonts w:eastAsia="Calibri" w:cs="Arial"/>
                <w:bCs/>
                <w:i/>
                <w:sz w:val="24"/>
                <w:szCs w:val="24"/>
              </w:rPr>
              <w:t>(note 2)</w:t>
            </w:r>
          </w:p>
        </w:tc>
        <w:tc>
          <w:tcPr>
            <w:tcW w:w="992" w:type="dxa"/>
            <w:shd w:val="clear" w:color="auto" w:fill="auto"/>
            <w:noWrap/>
            <w:hideMark/>
          </w:tcPr>
          <w:p w:rsidR="003821DD" w:rsidRPr="003821DD" w:rsidRDefault="003821DD" w:rsidP="003821DD">
            <w:pPr>
              <w:spacing w:after="0" w:line="240" w:lineRule="auto"/>
              <w:jc w:val="right"/>
              <w:rPr>
                <w:rFonts w:eastAsia="Calibri" w:cs="Arial"/>
                <w:i/>
                <w:sz w:val="24"/>
                <w:szCs w:val="24"/>
              </w:rPr>
            </w:pPr>
            <w:r w:rsidRPr="003821DD">
              <w:rPr>
                <w:rFonts w:eastAsia="Calibri" w:cs="Arial"/>
                <w:i/>
                <w:sz w:val="24"/>
                <w:szCs w:val="24"/>
              </w:rPr>
              <w:t>15000</w:t>
            </w:r>
          </w:p>
        </w:tc>
      </w:tr>
      <w:tr w:rsidR="003821DD" w:rsidRPr="003821DD" w:rsidTr="00ED76D1">
        <w:trPr>
          <w:trHeight w:val="300"/>
        </w:trPr>
        <w:tc>
          <w:tcPr>
            <w:tcW w:w="7905" w:type="dxa"/>
            <w:shd w:val="clear" w:color="auto" w:fill="auto"/>
            <w:noWrap/>
            <w:hideMark/>
          </w:tcPr>
          <w:p w:rsidR="003821DD" w:rsidRPr="003821DD" w:rsidRDefault="003821DD" w:rsidP="003821DD">
            <w:pPr>
              <w:spacing w:after="0" w:line="240" w:lineRule="auto"/>
              <w:rPr>
                <w:rFonts w:eastAsia="Calibri" w:cs="Arial"/>
                <w:i/>
                <w:sz w:val="24"/>
                <w:szCs w:val="24"/>
              </w:rPr>
            </w:pPr>
            <w:r w:rsidRPr="003821DD">
              <w:rPr>
                <w:rFonts w:eastAsia="Calibri" w:cs="Arial"/>
                <w:i/>
                <w:sz w:val="24"/>
                <w:szCs w:val="24"/>
              </w:rPr>
              <w:t> </w:t>
            </w:r>
          </w:p>
        </w:tc>
        <w:tc>
          <w:tcPr>
            <w:tcW w:w="992" w:type="dxa"/>
            <w:shd w:val="clear" w:color="auto" w:fill="auto"/>
            <w:noWrap/>
            <w:hideMark/>
          </w:tcPr>
          <w:p w:rsidR="003821DD" w:rsidRPr="003821DD" w:rsidRDefault="003821DD" w:rsidP="003821DD">
            <w:pPr>
              <w:spacing w:after="0" w:line="240" w:lineRule="auto"/>
              <w:jc w:val="right"/>
              <w:rPr>
                <w:rFonts w:eastAsia="Calibri" w:cs="Arial"/>
                <w:i/>
                <w:sz w:val="24"/>
                <w:szCs w:val="24"/>
              </w:rPr>
            </w:pPr>
            <w:r w:rsidRPr="003821DD">
              <w:rPr>
                <w:rFonts w:eastAsia="Calibri" w:cs="Arial"/>
                <w:i/>
                <w:sz w:val="24"/>
                <w:szCs w:val="24"/>
              </w:rPr>
              <w:t> </w:t>
            </w:r>
          </w:p>
        </w:tc>
      </w:tr>
      <w:tr w:rsidR="003821DD" w:rsidRPr="003821DD" w:rsidTr="00ED76D1">
        <w:trPr>
          <w:trHeight w:val="300"/>
        </w:trPr>
        <w:tc>
          <w:tcPr>
            <w:tcW w:w="7905" w:type="dxa"/>
            <w:shd w:val="clear" w:color="auto" w:fill="auto"/>
            <w:noWrap/>
            <w:hideMark/>
          </w:tcPr>
          <w:p w:rsidR="003821DD" w:rsidRPr="003821DD" w:rsidRDefault="003821DD" w:rsidP="003821DD">
            <w:pPr>
              <w:spacing w:after="0" w:line="240" w:lineRule="auto"/>
              <w:rPr>
                <w:rFonts w:eastAsia="Calibri" w:cs="Arial"/>
                <w:b/>
                <w:bCs/>
                <w:i/>
                <w:sz w:val="24"/>
                <w:szCs w:val="24"/>
              </w:rPr>
            </w:pPr>
            <w:r w:rsidRPr="003821DD">
              <w:rPr>
                <w:rFonts w:eastAsia="Calibri" w:cs="Arial"/>
                <w:b/>
                <w:bCs/>
                <w:i/>
                <w:sz w:val="24"/>
                <w:szCs w:val="24"/>
              </w:rPr>
              <w:t>Premiums (use all that apply)</w:t>
            </w:r>
          </w:p>
        </w:tc>
        <w:tc>
          <w:tcPr>
            <w:tcW w:w="992" w:type="dxa"/>
            <w:shd w:val="clear" w:color="auto" w:fill="auto"/>
            <w:noWrap/>
            <w:hideMark/>
          </w:tcPr>
          <w:p w:rsidR="003821DD" w:rsidRPr="003821DD" w:rsidRDefault="003821DD" w:rsidP="003821DD">
            <w:pPr>
              <w:spacing w:after="0" w:line="240" w:lineRule="auto"/>
              <w:jc w:val="right"/>
              <w:rPr>
                <w:rFonts w:eastAsia="Calibri" w:cs="Arial"/>
                <w:i/>
                <w:sz w:val="24"/>
                <w:szCs w:val="24"/>
              </w:rPr>
            </w:pPr>
            <w:r w:rsidRPr="003821DD">
              <w:rPr>
                <w:rFonts w:eastAsia="Calibri" w:cs="Arial"/>
                <w:i/>
                <w:sz w:val="24"/>
                <w:szCs w:val="24"/>
              </w:rPr>
              <w:t> </w:t>
            </w:r>
          </w:p>
        </w:tc>
      </w:tr>
      <w:tr w:rsidR="003821DD" w:rsidRPr="003821DD" w:rsidTr="00ED76D1">
        <w:trPr>
          <w:trHeight w:val="300"/>
        </w:trPr>
        <w:tc>
          <w:tcPr>
            <w:tcW w:w="7905" w:type="dxa"/>
            <w:shd w:val="clear" w:color="auto" w:fill="auto"/>
            <w:noWrap/>
            <w:hideMark/>
          </w:tcPr>
          <w:p w:rsidR="003821DD" w:rsidRPr="003821DD" w:rsidRDefault="003821DD" w:rsidP="00ED76D1">
            <w:pPr>
              <w:tabs>
                <w:tab w:val="right" w:pos="7252"/>
              </w:tabs>
              <w:spacing w:after="0" w:line="240" w:lineRule="auto"/>
              <w:rPr>
                <w:rFonts w:eastAsia="Calibri" w:cs="Arial"/>
                <w:i/>
                <w:sz w:val="24"/>
                <w:szCs w:val="24"/>
              </w:rPr>
            </w:pPr>
            <w:r w:rsidRPr="003821DD">
              <w:rPr>
                <w:rFonts w:eastAsia="Calibri" w:cs="Arial"/>
                <w:i/>
                <w:sz w:val="24"/>
                <w:szCs w:val="24"/>
              </w:rPr>
              <w:t xml:space="preserve">Acts or omissions demonstrating high culpability  </w:t>
            </w:r>
            <w:r w:rsidR="00ED76D1">
              <w:rPr>
                <w:rFonts w:eastAsia="Calibri" w:cs="Arial"/>
                <w:i/>
                <w:sz w:val="24"/>
                <w:szCs w:val="24"/>
              </w:rPr>
              <w:t xml:space="preserve">          </w:t>
            </w:r>
            <w:r w:rsidR="00ED76D1" w:rsidRPr="003821DD">
              <w:rPr>
                <w:rFonts w:eastAsia="Calibri" w:cs="Arial"/>
                <w:i/>
                <w:sz w:val="24"/>
                <w:szCs w:val="24"/>
              </w:rPr>
              <w:t>(note 8)</w:t>
            </w:r>
            <w:r w:rsidRPr="003821DD">
              <w:rPr>
                <w:rFonts w:eastAsia="Calibri" w:cs="Arial"/>
                <w:i/>
                <w:sz w:val="24"/>
                <w:szCs w:val="24"/>
              </w:rPr>
              <w:tab/>
            </w:r>
            <w:r w:rsidR="00ED76D1">
              <w:rPr>
                <w:rFonts w:eastAsia="Calibri" w:cs="Arial"/>
                <w:i/>
                <w:sz w:val="24"/>
                <w:szCs w:val="24"/>
              </w:rPr>
              <w:t xml:space="preserve">       </w:t>
            </w:r>
          </w:p>
        </w:tc>
        <w:tc>
          <w:tcPr>
            <w:tcW w:w="992" w:type="dxa"/>
            <w:shd w:val="clear" w:color="auto" w:fill="auto"/>
            <w:noWrap/>
            <w:hideMark/>
          </w:tcPr>
          <w:p w:rsidR="003821DD" w:rsidRPr="003821DD" w:rsidRDefault="003821DD" w:rsidP="003821DD">
            <w:pPr>
              <w:spacing w:after="0" w:line="240" w:lineRule="auto"/>
              <w:jc w:val="right"/>
              <w:rPr>
                <w:rFonts w:eastAsia="Calibri" w:cs="Arial"/>
                <w:i/>
                <w:sz w:val="24"/>
                <w:szCs w:val="24"/>
              </w:rPr>
            </w:pPr>
            <w:r w:rsidRPr="003821DD">
              <w:rPr>
                <w:rFonts w:eastAsia="Calibri" w:cs="Arial"/>
                <w:i/>
                <w:sz w:val="24"/>
                <w:szCs w:val="24"/>
              </w:rPr>
              <w:t>+2500</w:t>
            </w:r>
          </w:p>
        </w:tc>
      </w:tr>
      <w:tr w:rsidR="003821DD" w:rsidRPr="003821DD" w:rsidTr="00ED76D1">
        <w:trPr>
          <w:trHeight w:val="300"/>
        </w:trPr>
        <w:tc>
          <w:tcPr>
            <w:tcW w:w="7905" w:type="dxa"/>
            <w:shd w:val="clear" w:color="auto" w:fill="auto"/>
            <w:noWrap/>
            <w:hideMark/>
          </w:tcPr>
          <w:p w:rsidR="003821DD" w:rsidRPr="003821DD" w:rsidRDefault="003821DD" w:rsidP="003821DD">
            <w:pPr>
              <w:spacing w:after="0" w:line="240" w:lineRule="auto"/>
              <w:rPr>
                <w:rFonts w:eastAsia="Calibri" w:cs="Arial"/>
                <w:i/>
                <w:sz w:val="24"/>
                <w:szCs w:val="24"/>
              </w:rPr>
            </w:pPr>
            <w:r w:rsidRPr="003821DD">
              <w:rPr>
                <w:rFonts w:eastAsia="Calibri" w:cs="Arial"/>
                <w:i/>
                <w:sz w:val="24"/>
                <w:szCs w:val="24"/>
              </w:rPr>
              <w:t xml:space="preserve">Vulnerable occupant and/or significant harm occurred as result of overcrowding                                                         </w:t>
            </w:r>
            <w:r w:rsidR="00ED76D1">
              <w:rPr>
                <w:rFonts w:eastAsia="Calibri" w:cs="Arial"/>
                <w:i/>
                <w:sz w:val="24"/>
                <w:szCs w:val="24"/>
              </w:rPr>
              <w:t xml:space="preserve">               </w:t>
            </w:r>
            <w:r w:rsidRPr="003821DD">
              <w:rPr>
                <w:rFonts w:eastAsia="Calibri" w:cs="Arial"/>
                <w:i/>
                <w:sz w:val="24"/>
                <w:szCs w:val="24"/>
              </w:rPr>
              <w:t xml:space="preserve">  </w:t>
            </w:r>
            <w:r w:rsidRPr="003821DD">
              <w:rPr>
                <w:rFonts w:eastAsia="Calibri" w:cs="Arial"/>
                <w:bCs/>
                <w:i/>
                <w:sz w:val="24"/>
                <w:szCs w:val="24"/>
              </w:rPr>
              <w:t>(note 3)</w:t>
            </w:r>
          </w:p>
        </w:tc>
        <w:tc>
          <w:tcPr>
            <w:tcW w:w="992" w:type="dxa"/>
            <w:shd w:val="clear" w:color="auto" w:fill="auto"/>
            <w:noWrap/>
            <w:hideMark/>
          </w:tcPr>
          <w:p w:rsidR="003821DD" w:rsidRPr="003821DD" w:rsidRDefault="003821DD" w:rsidP="003821DD">
            <w:pPr>
              <w:spacing w:after="0" w:line="240" w:lineRule="auto"/>
              <w:jc w:val="right"/>
              <w:rPr>
                <w:rFonts w:eastAsia="Calibri" w:cs="Arial"/>
                <w:i/>
                <w:sz w:val="24"/>
                <w:szCs w:val="24"/>
              </w:rPr>
            </w:pPr>
            <w:r w:rsidRPr="003821DD">
              <w:rPr>
                <w:rFonts w:eastAsia="Calibri" w:cs="Arial"/>
                <w:i/>
                <w:sz w:val="24"/>
                <w:szCs w:val="24"/>
              </w:rPr>
              <w:t>+2500</w:t>
            </w:r>
          </w:p>
        </w:tc>
      </w:tr>
      <w:tr w:rsidR="003821DD" w:rsidRPr="003821DD" w:rsidTr="00ED76D1">
        <w:trPr>
          <w:trHeight w:val="300"/>
        </w:trPr>
        <w:tc>
          <w:tcPr>
            <w:tcW w:w="7905" w:type="dxa"/>
            <w:shd w:val="clear" w:color="auto" w:fill="auto"/>
            <w:noWrap/>
            <w:hideMark/>
          </w:tcPr>
          <w:p w:rsidR="00ED76D1" w:rsidRDefault="003821DD" w:rsidP="003821DD">
            <w:pPr>
              <w:tabs>
                <w:tab w:val="right" w:pos="7252"/>
              </w:tabs>
              <w:spacing w:after="0" w:line="240" w:lineRule="auto"/>
              <w:rPr>
                <w:rFonts w:eastAsia="Calibri" w:cs="Arial"/>
                <w:i/>
                <w:sz w:val="24"/>
                <w:szCs w:val="24"/>
              </w:rPr>
            </w:pPr>
            <w:r w:rsidRPr="003821DD">
              <w:rPr>
                <w:rFonts w:eastAsia="Calibri" w:cs="Arial"/>
                <w:i/>
                <w:sz w:val="24"/>
                <w:szCs w:val="24"/>
              </w:rPr>
              <w:t>Perpetrator demonstrates their income to be less than £440 per week</w:t>
            </w:r>
            <w:r w:rsidRPr="003821DD">
              <w:rPr>
                <w:rFonts w:eastAsia="Calibri" w:cs="Arial"/>
                <w:i/>
                <w:sz w:val="24"/>
                <w:szCs w:val="24"/>
              </w:rPr>
              <w:tab/>
            </w:r>
          </w:p>
          <w:p w:rsidR="003821DD" w:rsidRPr="003821DD" w:rsidRDefault="00ED76D1" w:rsidP="003821DD">
            <w:pPr>
              <w:tabs>
                <w:tab w:val="right" w:pos="7252"/>
              </w:tabs>
              <w:spacing w:after="0" w:line="240" w:lineRule="auto"/>
              <w:rPr>
                <w:rFonts w:eastAsia="Calibri" w:cs="Arial"/>
                <w:i/>
                <w:sz w:val="24"/>
                <w:szCs w:val="24"/>
              </w:rPr>
            </w:pPr>
            <w:r>
              <w:rPr>
                <w:rFonts w:eastAsia="Calibri" w:cs="Arial"/>
                <w:i/>
                <w:sz w:val="24"/>
                <w:szCs w:val="24"/>
              </w:rPr>
              <w:t xml:space="preserve">                                                                                                  </w:t>
            </w:r>
            <w:r w:rsidR="003821DD" w:rsidRPr="003821DD">
              <w:rPr>
                <w:rFonts w:eastAsia="Calibri" w:cs="Arial"/>
                <w:bCs/>
                <w:i/>
                <w:sz w:val="24"/>
                <w:szCs w:val="24"/>
              </w:rPr>
              <w:t>(note 6)</w:t>
            </w:r>
          </w:p>
        </w:tc>
        <w:tc>
          <w:tcPr>
            <w:tcW w:w="992" w:type="dxa"/>
            <w:shd w:val="clear" w:color="auto" w:fill="auto"/>
            <w:noWrap/>
            <w:hideMark/>
          </w:tcPr>
          <w:p w:rsidR="003821DD" w:rsidRPr="003821DD" w:rsidRDefault="003821DD" w:rsidP="003821DD">
            <w:pPr>
              <w:spacing w:after="0" w:line="240" w:lineRule="auto"/>
              <w:jc w:val="right"/>
              <w:rPr>
                <w:rFonts w:eastAsia="Calibri" w:cs="Arial"/>
                <w:i/>
                <w:sz w:val="24"/>
                <w:szCs w:val="24"/>
              </w:rPr>
            </w:pPr>
            <w:r w:rsidRPr="003821DD">
              <w:rPr>
                <w:rFonts w:eastAsia="Calibri" w:cs="Arial"/>
                <w:i/>
                <w:sz w:val="24"/>
                <w:szCs w:val="24"/>
              </w:rPr>
              <w:t>-50%</w:t>
            </w:r>
          </w:p>
          <w:p w:rsidR="003821DD" w:rsidRPr="003821DD" w:rsidRDefault="003821DD" w:rsidP="003821DD">
            <w:pPr>
              <w:spacing w:after="0" w:line="240" w:lineRule="auto"/>
              <w:jc w:val="right"/>
              <w:rPr>
                <w:rFonts w:eastAsia="Calibri" w:cs="Arial"/>
                <w:i/>
                <w:sz w:val="24"/>
                <w:szCs w:val="24"/>
              </w:rPr>
            </w:pPr>
          </w:p>
          <w:p w:rsidR="003821DD" w:rsidRPr="003821DD" w:rsidRDefault="003821DD" w:rsidP="003821DD">
            <w:pPr>
              <w:spacing w:after="0" w:line="240" w:lineRule="auto"/>
              <w:jc w:val="right"/>
              <w:rPr>
                <w:rFonts w:eastAsia="Calibri" w:cs="Arial"/>
                <w:i/>
                <w:sz w:val="24"/>
                <w:szCs w:val="24"/>
              </w:rPr>
            </w:pPr>
          </w:p>
        </w:tc>
      </w:tr>
      <w:tr w:rsidR="003821DD" w:rsidRPr="003821DD" w:rsidTr="00ED76D1">
        <w:trPr>
          <w:trHeight w:val="300"/>
        </w:trPr>
        <w:tc>
          <w:tcPr>
            <w:tcW w:w="7905" w:type="dxa"/>
            <w:shd w:val="clear" w:color="auto" w:fill="auto"/>
            <w:noWrap/>
            <w:hideMark/>
          </w:tcPr>
          <w:p w:rsidR="003821DD" w:rsidRPr="003821DD" w:rsidRDefault="003821DD" w:rsidP="003821DD">
            <w:pPr>
              <w:spacing w:after="0" w:line="240" w:lineRule="auto"/>
              <w:rPr>
                <w:rFonts w:eastAsia="Calibri" w:cs="Arial"/>
                <w:b/>
                <w:bCs/>
                <w:i/>
                <w:sz w:val="24"/>
                <w:szCs w:val="24"/>
              </w:rPr>
            </w:pPr>
            <w:r w:rsidRPr="003821DD">
              <w:rPr>
                <w:rFonts w:eastAsia="Calibri" w:cs="Arial"/>
                <w:b/>
                <w:bCs/>
                <w:i/>
                <w:sz w:val="24"/>
                <w:szCs w:val="24"/>
              </w:rPr>
              <w:t xml:space="preserve">Failure to comply with management regulations in respect of HMOs (Section 234) </w:t>
            </w:r>
            <w:r w:rsidRPr="003821DD">
              <w:rPr>
                <w:rFonts w:eastAsia="Calibri" w:cs="Arial"/>
                <w:b/>
                <w:bCs/>
                <w:i/>
                <w:sz w:val="24"/>
                <w:szCs w:val="24"/>
              </w:rPr>
              <w:tab/>
            </w:r>
            <w:r w:rsidRPr="003821DD">
              <w:rPr>
                <w:rFonts w:eastAsia="Calibri" w:cs="Arial"/>
                <w:bCs/>
                <w:i/>
                <w:sz w:val="24"/>
                <w:szCs w:val="24"/>
              </w:rPr>
              <w:t xml:space="preserve">                                                                                            </w:t>
            </w:r>
          </w:p>
        </w:tc>
        <w:tc>
          <w:tcPr>
            <w:tcW w:w="992" w:type="dxa"/>
            <w:shd w:val="clear" w:color="auto" w:fill="auto"/>
            <w:noWrap/>
            <w:hideMark/>
          </w:tcPr>
          <w:p w:rsidR="003821DD" w:rsidRPr="003821DD" w:rsidRDefault="003821DD" w:rsidP="003821DD">
            <w:pPr>
              <w:spacing w:after="0" w:line="240" w:lineRule="auto"/>
              <w:jc w:val="center"/>
              <w:rPr>
                <w:rFonts w:eastAsia="Calibri" w:cs="Arial"/>
                <w:i/>
                <w:sz w:val="24"/>
                <w:szCs w:val="24"/>
              </w:rPr>
            </w:pPr>
            <w:r w:rsidRPr="003821DD">
              <w:rPr>
                <w:rFonts w:eastAsia="Calibri" w:cs="Arial"/>
                <w:i/>
                <w:sz w:val="24"/>
                <w:szCs w:val="24"/>
              </w:rPr>
              <w:t>£</w:t>
            </w:r>
          </w:p>
        </w:tc>
      </w:tr>
      <w:tr w:rsidR="003821DD" w:rsidRPr="003821DD" w:rsidTr="00ED76D1">
        <w:trPr>
          <w:trHeight w:val="300"/>
        </w:trPr>
        <w:tc>
          <w:tcPr>
            <w:tcW w:w="7905" w:type="dxa"/>
            <w:shd w:val="clear" w:color="auto" w:fill="auto"/>
            <w:noWrap/>
            <w:hideMark/>
          </w:tcPr>
          <w:p w:rsidR="003821DD" w:rsidRPr="003821DD" w:rsidRDefault="003821DD" w:rsidP="003821DD">
            <w:pPr>
              <w:spacing w:after="0" w:line="240" w:lineRule="auto"/>
              <w:rPr>
                <w:rFonts w:eastAsia="Calibri" w:cs="Arial"/>
                <w:i/>
                <w:sz w:val="24"/>
                <w:szCs w:val="24"/>
              </w:rPr>
            </w:pPr>
            <w:r w:rsidRPr="003821DD">
              <w:rPr>
                <w:rFonts w:eastAsia="Calibri" w:cs="Arial"/>
                <w:i/>
                <w:sz w:val="24"/>
                <w:szCs w:val="24"/>
              </w:rPr>
              <w:t xml:space="preserve">First relevant offence                                                     </w:t>
            </w:r>
            <w:r w:rsidR="00ED76D1">
              <w:rPr>
                <w:rFonts w:eastAsia="Calibri" w:cs="Arial"/>
                <w:i/>
                <w:sz w:val="24"/>
                <w:szCs w:val="24"/>
              </w:rPr>
              <w:t xml:space="preserve">       </w:t>
            </w:r>
            <w:r w:rsidRPr="003821DD">
              <w:rPr>
                <w:rFonts w:eastAsia="Calibri" w:cs="Arial"/>
                <w:i/>
                <w:sz w:val="24"/>
                <w:szCs w:val="24"/>
              </w:rPr>
              <w:t xml:space="preserve"> </w:t>
            </w:r>
            <w:r w:rsidRPr="003821DD">
              <w:rPr>
                <w:rFonts w:eastAsia="Calibri" w:cs="Arial"/>
                <w:bCs/>
                <w:i/>
                <w:sz w:val="24"/>
                <w:szCs w:val="24"/>
              </w:rPr>
              <w:t>(note1)</w:t>
            </w:r>
          </w:p>
        </w:tc>
        <w:tc>
          <w:tcPr>
            <w:tcW w:w="992" w:type="dxa"/>
            <w:shd w:val="clear" w:color="auto" w:fill="auto"/>
            <w:noWrap/>
            <w:hideMark/>
          </w:tcPr>
          <w:p w:rsidR="003821DD" w:rsidRPr="003821DD" w:rsidRDefault="003821DD" w:rsidP="003821DD">
            <w:pPr>
              <w:spacing w:after="0" w:line="240" w:lineRule="auto"/>
              <w:jc w:val="right"/>
              <w:rPr>
                <w:rFonts w:eastAsia="Calibri" w:cs="Arial"/>
                <w:i/>
                <w:sz w:val="24"/>
                <w:szCs w:val="24"/>
              </w:rPr>
            </w:pPr>
            <w:r w:rsidRPr="003821DD">
              <w:rPr>
                <w:rFonts w:eastAsia="Calibri" w:cs="Arial"/>
                <w:i/>
                <w:sz w:val="24"/>
                <w:szCs w:val="24"/>
              </w:rPr>
              <w:t>1000/</w:t>
            </w:r>
          </w:p>
          <w:p w:rsidR="003821DD" w:rsidRPr="003821DD" w:rsidRDefault="003821DD" w:rsidP="003821DD">
            <w:pPr>
              <w:spacing w:after="0" w:line="240" w:lineRule="auto"/>
              <w:jc w:val="right"/>
              <w:rPr>
                <w:rFonts w:eastAsia="Calibri" w:cs="Arial"/>
                <w:i/>
                <w:sz w:val="24"/>
                <w:szCs w:val="24"/>
              </w:rPr>
            </w:pPr>
            <w:r w:rsidRPr="003821DD">
              <w:rPr>
                <w:rFonts w:eastAsia="Calibri" w:cs="Arial"/>
                <w:i/>
                <w:sz w:val="24"/>
                <w:szCs w:val="24"/>
              </w:rPr>
              <w:t xml:space="preserve">offence </w:t>
            </w:r>
          </w:p>
        </w:tc>
      </w:tr>
      <w:tr w:rsidR="003821DD" w:rsidRPr="003821DD" w:rsidTr="00ED76D1">
        <w:trPr>
          <w:trHeight w:val="300"/>
        </w:trPr>
        <w:tc>
          <w:tcPr>
            <w:tcW w:w="7905" w:type="dxa"/>
            <w:shd w:val="clear" w:color="auto" w:fill="auto"/>
            <w:noWrap/>
            <w:hideMark/>
          </w:tcPr>
          <w:p w:rsidR="003821DD" w:rsidRPr="003821DD" w:rsidRDefault="003821DD" w:rsidP="003821DD">
            <w:pPr>
              <w:spacing w:after="0" w:line="240" w:lineRule="auto"/>
              <w:rPr>
                <w:rFonts w:eastAsia="Calibri" w:cs="Arial"/>
                <w:i/>
                <w:sz w:val="24"/>
                <w:szCs w:val="24"/>
              </w:rPr>
            </w:pPr>
            <w:r w:rsidRPr="003821DD">
              <w:rPr>
                <w:rFonts w:eastAsia="Calibri" w:cs="Arial"/>
                <w:i/>
                <w:sz w:val="24"/>
                <w:szCs w:val="24"/>
              </w:rPr>
              <w:lastRenderedPageBreak/>
              <w:t>Subsequent second offence by same person/company for the same offence</w:t>
            </w:r>
          </w:p>
        </w:tc>
        <w:tc>
          <w:tcPr>
            <w:tcW w:w="992" w:type="dxa"/>
            <w:shd w:val="clear" w:color="auto" w:fill="auto"/>
            <w:noWrap/>
            <w:hideMark/>
          </w:tcPr>
          <w:p w:rsidR="003821DD" w:rsidRPr="003821DD" w:rsidRDefault="003821DD" w:rsidP="003821DD">
            <w:pPr>
              <w:spacing w:after="0" w:line="240" w:lineRule="auto"/>
              <w:jc w:val="right"/>
              <w:rPr>
                <w:rFonts w:eastAsia="Calibri" w:cs="Arial"/>
                <w:i/>
                <w:sz w:val="24"/>
                <w:szCs w:val="24"/>
              </w:rPr>
            </w:pPr>
            <w:r w:rsidRPr="003821DD">
              <w:rPr>
                <w:rFonts w:eastAsia="Calibri" w:cs="Arial"/>
                <w:i/>
                <w:sz w:val="24"/>
                <w:szCs w:val="24"/>
              </w:rPr>
              <w:t> 3000/</w:t>
            </w:r>
          </w:p>
          <w:p w:rsidR="003821DD" w:rsidRPr="003821DD" w:rsidRDefault="003821DD" w:rsidP="003821DD">
            <w:pPr>
              <w:spacing w:after="0" w:line="240" w:lineRule="auto"/>
              <w:jc w:val="right"/>
              <w:rPr>
                <w:rFonts w:eastAsia="Calibri" w:cs="Arial"/>
                <w:i/>
                <w:sz w:val="24"/>
                <w:szCs w:val="24"/>
              </w:rPr>
            </w:pPr>
            <w:r w:rsidRPr="003821DD">
              <w:rPr>
                <w:rFonts w:eastAsia="Calibri" w:cs="Arial"/>
                <w:i/>
                <w:sz w:val="24"/>
                <w:szCs w:val="24"/>
              </w:rPr>
              <w:t>offence</w:t>
            </w:r>
          </w:p>
        </w:tc>
      </w:tr>
      <w:tr w:rsidR="003821DD" w:rsidRPr="003821DD" w:rsidTr="00ED76D1">
        <w:trPr>
          <w:trHeight w:val="300"/>
        </w:trPr>
        <w:tc>
          <w:tcPr>
            <w:tcW w:w="7905" w:type="dxa"/>
            <w:shd w:val="clear" w:color="auto" w:fill="auto"/>
            <w:noWrap/>
            <w:hideMark/>
          </w:tcPr>
          <w:p w:rsidR="003821DD" w:rsidRPr="003821DD" w:rsidRDefault="003821DD" w:rsidP="003821DD">
            <w:pPr>
              <w:spacing w:after="0" w:line="240" w:lineRule="auto"/>
              <w:rPr>
                <w:rFonts w:eastAsia="Calibri" w:cs="Arial"/>
                <w:b/>
                <w:bCs/>
                <w:i/>
                <w:sz w:val="24"/>
                <w:szCs w:val="24"/>
              </w:rPr>
            </w:pPr>
          </w:p>
        </w:tc>
        <w:tc>
          <w:tcPr>
            <w:tcW w:w="992" w:type="dxa"/>
            <w:shd w:val="clear" w:color="auto" w:fill="auto"/>
            <w:noWrap/>
            <w:hideMark/>
          </w:tcPr>
          <w:p w:rsidR="003821DD" w:rsidRPr="003821DD" w:rsidRDefault="003821DD" w:rsidP="003821DD">
            <w:pPr>
              <w:spacing w:after="0" w:line="240" w:lineRule="auto"/>
              <w:jc w:val="right"/>
              <w:rPr>
                <w:rFonts w:eastAsia="Calibri" w:cs="Arial"/>
                <w:i/>
                <w:sz w:val="24"/>
                <w:szCs w:val="24"/>
              </w:rPr>
            </w:pPr>
          </w:p>
        </w:tc>
      </w:tr>
      <w:tr w:rsidR="003821DD" w:rsidRPr="003821DD" w:rsidTr="00ED76D1">
        <w:trPr>
          <w:trHeight w:val="300"/>
        </w:trPr>
        <w:tc>
          <w:tcPr>
            <w:tcW w:w="7905" w:type="dxa"/>
            <w:shd w:val="clear" w:color="auto" w:fill="auto"/>
            <w:noWrap/>
            <w:hideMark/>
          </w:tcPr>
          <w:p w:rsidR="003821DD" w:rsidRPr="003821DD" w:rsidRDefault="003821DD" w:rsidP="003821DD">
            <w:pPr>
              <w:spacing w:after="0" w:line="240" w:lineRule="auto"/>
              <w:rPr>
                <w:rFonts w:eastAsia="Calibri" w:cs="Arial"/>
                <w:b/>
                <w:bCs/>
                <w:i/>
                <w:sz w:val="24"/>
                <w:szCs w:val="24"/>
              </w:rPr>
            </w:pPr>
            <w:r w:rsidRPr="003821DD">
              <w:rPr>
                <w:rFonts w:eastAsia="Calibri" w:cs="Arial"/>
                <w:b/>
                <w:bCs/>
                <w:i/>
                <w:sz w:val="24"/>
                <w:szCs w:val="24"/>
              </w:rPr>
              <w:t>Premiums (use all that apply)</w:t>
            </w:r>
          </w:p>
        </w:tc>
        <w:tc>
          <w:tcPr>
            <w:tcW w:w="992" w:type="dxa"/>
            <w:shd w:val="clear" w:color="auto" w:fill="auto"/>
            <w:noWrap/>
            <w:hideMark/>
          </w:tcPr>
          <w:p w:rsidR="003821DD" w:rsidRPr="003821DD" w:rsidRDefault="003821DD" w:rsidP="003821DD">
            <w:pPr>
              <w:spacing w:after="0" w:line="240" w:lineRule="auto"/>
              <w:jc w:val="right"/>
              <w:rPr>
                <w:rFonts w:eastAsia="Calibri" w:cs="Arial"/>
                <w:i/>
                <w:sz w:val="24"/>
                <w:szCs w:val="24"/>
              </w:rPr>
            </w:pPr>
            <w:r w:rsidRPr="003821DD">
              <w:rPr>
                <w:rFonts w:eastAsia="Calibri" w:cs="Arial"/>
                <w:i/>
                <w:sz w:val="24"/>
                <w:szCs w:val="24"/>
              </w:rPr>
              <w:t> </w:t>
            </w:r>
          </w:p>
        </w:tc>
      </w:tr>
      <w:tr w:rsidR="003821DD" w:rsidRPr="003821DD" w:rsidTr="00ED76D1">
        <w:trPr>
          <w:trHeight w:val="300"/>
        </w:trPr>
        <w:tc>
          <w:tcPr>
            <w:tcW w:w="7905" w:type="dxa"/>
            <w:shd w:val="clear" w:color="auto" w:fill="auto"/>
            <w:noWrap/>
            <w:hideMark/>
          </w:tcPr>
          <w:p w:rsidR="003821DD" w:rsidRPr="003821DD" w:rsidRDefault="003821DD" w:rsidP="003821DD">
            <w:pPr>
              <w:tabs>
                <w:tab w:val="right" w:pos="7252"/>
              </w:tabs>
              <w:spacing w:after="0" w:line="240" w:lineRule="auto"/>
              <w:rPr>
                <w:rFonts w:eastAsia="Calibri" w:cs="Arial"/>
                <w:i/>
                <w:sz w:val="24"/>
                <w:szCs w:val="24"/>
              </w:rPr>
            </w:pPr>
            <w:r w:rsidRPr="003821DD">
              <w:rPr>
                <w:rFonts w:eastAsia="Calibri" w:cs="Arial"/>
                <w:i/>
                <w:sz w:val="24"/>
                <w:szCs w:val="24"/>
              </w:rPr>
              <w:t>Acts or omissions demonstrating high culpability            (note 8)</w:t>
            </w:r>
          </w:p>
        </w:tc>
        <w:tc>
          <w:tcPr>
            <w:tcW w:w="992" w:type="dxa"/>
            <w:shd w:val="clear" w:color="auto" w:fill="auto"/>
            <w:noWrap/>
            <w:hideMark/>
          </w:tcPr>
          <w:p w:rsidR="003821DD" w:rsidRPr="003821DD" w:rsidRDefault="003821DD" w:rsidP="003821DD">
            <w:pPr>
              <w:spacing w:after="0" w:line="240" w:lineRule="auto"/>
              <w:jc w:val="right"/>
              <w:rPr>
                <w:rFonts w:eastAsia="Calibri" w:cs="Arial"/>
                <w:i/>
                <w:sz w:val="24"/>
                <w:szCs w:val="24"/>
              </w:rPr>
            </w:pPr>
            <w:r w:rsidRPr="003821DD">
              <w:rPr>
                <w:rFonts w:eastAsia="Calibri" w:cs="Arial"/>
                <w:i/>
                <w:sz w:val="24"/>
                <w:szCs w:val="24"/>
              </w:rPr>
              <w:t>+2500</w:t>
            </w:r>
          </w:p>
        </w:tc>
      </w:tr>
      <w:tr w:rsidR="003821DD" w:rsidRPr="003821DD" w:rsidTr="00ED76D1">
        <w:trPr>
          <w:trHeight w:val="300"/>
        </w:trPr>
        <w:tc>
          <w:tcPr>
            <w:tcW w:w="7905" w:type="dxa"/>
            <w:shd w:val="clear" w:color="auto" w:fill="auto"/>
            <w:noWrap/>
            <w:hideMark/>
          </w:tcPr>
          <w:p w:rsidR="003821DD" w:rsidRPr="003821DD" w:rsidRDefault="003821DD" w:rsidP="003821DD">
            <w:pPr>
              <w:tabs>
                <w:tab w:val="right" w:pos="7252"/>
              </w:tabs>
              <w:spacing w:after="0" w:line="240" w:lineRule="auto"/>
              <w:rPr>
                <w:rFonts w:eastAsia="Calibri" w:cs="Arial"/>
                <w:i/>
                <w:sz w:val="24"/>
                <w:szCs w:val="24"/>
              </w:rPr>
            </w:pPr>
            <w:r w:rsidRPr="003821DD">
              <w:rPr>
                <w:rFonts w:eastAsia="Calibri" w:cs="Arial"/>
                <w:i/>
                <w:sz w:val="24"/>
                <w:szCs w:val="24"/>
              </w:rPr>
              <w:t>Large housing portfol</w:t>
            </w:r>
            <w:r w:rsidR="00ED76D1">
              <w:rPr>
                <w:rFonts w:eastAsia="Calibri" w:cs="Arial"/>
                <w:i/>
                <w:sz w:val="24"/>
                <w:szCs w:val="24"/>
              </w:rPr>
              <w:t xml:space="preserve">io (10+ units of accommodation)  </w:t>
            </w:r>
            <w:r w:rsidRPr="003821DD">
              <w:rPr>
                <w:rFonts w:eastAsia="Calibri" w:cs="Arial"/>
                <w:bCs/>
                <w:i/>
                <w:sz w:val="24"/>
                <w:szCs w:val="24"/>
              </w:rPr>
              <w:t>(note 3)</w:t>
            </w:r>
          </w:p>
        </w:tc>
        <w:tc>
          <w:tcPr>
            <w:tcW w:w="992" w:type="dxa"/>
            <w:shd w:val="clear" w:color="auto" w:fill="auto"/>
            <w:noWrap/>
            <w:hideMark/>
          </w:tcPr>
          <w:p w:rsidR="003821DD" w:rsidRPr="003821DD" w:rsidRDefault="003821DD" w:rsidP="003821DD">
            <w:pPr>
              <w:spacing w:after="0" w:line="240" w:lineRule="auto"/>
              <w:jc w:val="right"/>
              <w:rPr>
                <w:rFonts w:eastAsia="Calibri" w:cs="Arial"/>
                <w:i/>
                <w:sz w:val="24"/>
                <w:szCs w:val="24"/>
              </w:rPr>
            </w:pPr>
            <w:r w:rsidRPr="003821DD">
              <w:rPr>
                <w:rFonts w:eastAsia="Calibri" w:cs="Arial"/>
                <w:i/>
                <w:sz w:val="24"/>
                <w:szCs w:val="24"/>
              </w:rPr>
              <w:t>+2500</w:t>
            </w:r>
          </w:p>
        </w:tc>
      </w:tr>
      <w:tr w:rsidR="003821DD" w:rsidRPr="003821DD" w:rsidTr="00ED76D1">
        <w:trPr>
          <w:trHeight w:val="300"/>
        </w:trPr>
        <w:tc>
          <w:tcPr>
            <w:tcW w:w="7905" w:type="dxa"/>
            <w:shd w:val="clear" w:color="auto" w:fill="auto"/>
            <w:noWrap/>
            <w:hideMark/>
          </w:tcPr>
          <w:p w:rsidR="003821DD" w:rsidRPr="003821DD" w:rsidRDefault="003821DD" w:rsidP="003821DD">
            <w:pPr>
              <w:spacing w:after="0" w:line="240" w:lineRule="auto"/>
              <w:rPr>
                <w:rFonts w:eastAsia="Calibri" w:cs="Arial"/>
                <w:i/>
                <w:sz w:val="24"/>
                <w:szCs w:val="24"/>
              </w:rPr>
            </w:pPr>
            <w:r w:rsidRPr="003821DD">
              <w:rPr>
                <w:rFonts w:eastAsia="Calibri" w:cs="Arial"/>
                <w:i/>
                <w:sz w:val="24"/>
                <w:szCs w:val="24"/>
              </w:rPr>
              <w:t>Vulnerable occupant and/or significant harm occurred as result of housing conditions</w:t>
            </w:r>
            <w:r w:rsidRPr="003821DD">
              <w:rPr>
                <w:rFonts w:eastAsia="Calibri" w:cs="Arial"/>
                <w:i/>
                <w:sz w:val="24"/>
                <w:szCs w:val="24"/>
              </w:rPr>
              <w:tab/>
              <w:t xml:space="preserve">                                            </w:t>
            </w:r>
            <w:r w:rsidR="00ED76D1">
              <w:rPr>
                <w:rFonts w:eastAsia="Calibri" w:cs="Arial"/>
                <w:i/>
                <w:sz w:val="24"/>
                <w:szCs w:val="24"/>
              </w:rPr>
              <w:t xml:space="preserve">                           </w:t>
            </w:r>
            <w:r w:rsidRPr="003821DD">
              <w:rPr>
                <w:rFonts w:eastAsia="Calibri" w:cs="Arial"/>
                <w:i/>
                <w:sz w:val="24"/>
                <w:szCs w:val="24"/>
              </w:rPr>
              <w:t>(note 5)</w:t>
            </w:r>
          </w:p>
        </w:tc>
        <w:tc>
          <w:tcPr>
            <w:tcW w:w="992" w:type="dxa"/>
            <w:shd w:val="clear" w:color="auto" w:fill="auto"/>
            <w:noWrap/>
            <w:hideMark/>
          </w:tcPr>
          <w:p w:rsidR="003821DD" w:rsidRPr="003821DD" w:rsidRDefault="003821DD" w:rsidP="003821DD">
            <w:pPr>
              <w:spacing w:after="0" w:line="240" w:lineRule="auto"/>
              <w:jc w:val="right"/>
              <w:rPr>
                <w:rFonts w:eastAsia="Calibri" w:cs="Arial"/>
                <w:i/>
                <w:sz w:val="24"/>
                <w:szCs w:val="24"/>
              </w:rPr>
            </w:pPr>
            <w:r w:rsidRPr="003821DD">
              <w:rPr>
                <w:rFonts w:eastAsia="Calibri" w:cs="Arial"/>
                <w:i/>
                <w:sz w:val="24"/>
                <w:szCs w:val="24"/>
              </w:rPr>
              <w:t>+2500</w:t>
            </w:r>
          </w:p>
        </w:tc>
      </w:tr>
      <w:tr w:rsidR="003821DD" w:rsidRPr="003821DD" w:rsidTr="00ED76D1">
        <w:trPr>
          <w:trHeight w:val="300"/>
        </w:trPr>
        <w:tc>
          <w:tcPr>
            <w:tcW w:w="7905" w:type="dxa"/>
            <w:shd w:val="clear" w:color="auto" w:fill="auto"/>
            <w:noWrap/>
            <w:hideMark/>
          </w:tcPr>
          <w:p w:rsidR="003821DD" w:rsidRPr="003821DD" w:rsidRDefault="003821DD" w:rsidP="003821DD">
            <w:pPr>
              <w:tabs>
                <w:tab w:val="right" w:pos="7252"/>
              </w:tabs>
              <w:spacing w:after="0" w:line="240" w:lineRule="auto"/>
              <w:rPr>
                <w:rFonts w:eastAsia="Calibri" w:cs="Arial"/>
                <w:i/>
                <w:sz w:val="24"/>
                <w:szCs w:val="24"/>
              </w:rPr>
            </w:pPr>
            <w:r w:rsidRPr="003821DD">
              <w:rPr>
                <w:rFonts w:eastAsia="Calibri" w:cs="Arial"/>
                <w:i/>
                <w:sz w:val="24"/>
                <w:szCs w:val="24"/>
              </w:rPr>
              <w:t>Perpetrator demonstrates their income to be less than £440 per week</w:t>
            </w:r>
            <w:r w:rsidRPr="003821DD">
              <w:rPr>
                <w:rFonts w:eastAsia="Calibri" w:cs="Arial"/>
                <w:i/>
                <w:sz w:val="24"/>
                <w:szCs w:val="24"/>
              </w:rPr>
              <w:tab/>
            </w:r>
            <w:r w:rsidR="00ED76D1">
              <w:rPr>
                <w:rFonts w:eastAsia="Calibri" w:cs="Arial"/>
                <w:i/>
                <w:sz w:val="24"/>
                <w:szCs w:val="24"/>
              </w:rPr>
              <w:t xml:space="preserve"> </w:t>
            </w:r>
            <w:r w:rsidRPr="003821DD">
              <w:rPr>
                <w:rFonts w:eastAsia="Calibri" w:cs="Arial"/>
                <w:bCs/>
                <w:i/>
                <w:sz w:val="24"/>
                <w:szCs w:val="24"/>
              </w:rPr>
              <w:t>(note 6)</w:t>
            </w:r>
          </w:p>
        </w:tc>
        <w:tc>
          <w:tcPr>
            <w:tcW w:w="992" w:type="dxa"/>
            <w:shd w:val="clear" w:color="auto" w:fill="auto"/>
            <w:noWrap/>
            <w:hideMark/>
          </w:tcPr>
          <w:p w:rsidR="003821DD" w:rsidRPr="003821DD" w:rsidRDefault="003821DD" w:rsidP="003821DD">
            <w:pPr>
              <w:spacing w:after="0" w:line="240" w:lineRule="auto"/>
              <w:jc w:val="right"/>
              <w:rPr>
                <w:rFonts w:eastAsia="Calibri" w:cs="Arial"/>
                <w:i/>
                <w:sz w:val="24"/>
                <w:szCs w:val="24"/>
              </w:rPr>
            </w:pPr>
            <w:r w:rsidRPr="003821DD">
              <w:rPr>
                <w:rFonts w:eastAsia="Calibri" w:cs="Arial"/>
                <w:i/>
                <w:sz w:val="24"/>
                <w:szCs w:val="24"/>
              </w:rPr>
              <w:t>-50%</w:t>
            </w:r>
          </w:p>
        </w:tc>
      </w:tr>
    </w:tbl>
    <w:p w:rsidR="003821DD" w:rsidRPr="00ED76D1" w:rsidRDefault="003821DD" w:rsidP="00A66901">
      <w:pPr>
        <w:spacing w:after="0" w:line="240" w:lineRule="auto"/>
        <w:rPr>
          <w:rFonts w:eastAsia="Times New Roman" w:cs="Arial"/>
          <w:b/>
          <w:sz w:val="24"/>
          <w:szCs w:val="24"/>
        </w:rPr>
      </w:pPr>
    </w:p>
    <w:p w:rsidR="0014536C" w:rsidRPr="0014536C" w:rsidRDefault="0014536C" w:rsidP="0014536C">
      <w:pPr>
        <w:spacing w:after="0" w:line="240" w:lineRule="auto"/>
        <w:ind w:left="1134" w:hanging="1134"/>
        <w:rPr>
          <w:rFonts w:eastAsia="Times New Roman" w:cs="Arial"/>
          <w:b/>
        </w:rPr>
      </w:pPr>
      <w:r w:rsidRPr="0014536C">
        <w:rPr>
          <w:rFonts w:eastAsia="Times New Roman" w:cs="Arial"/>
          <w:b/>
        </w:rPr>
        <w:t xml:space="preserve">Note 1 – </w:t>
      </w:r>
      <w:r w:rsidRPr="0014536C">
        <w:rPr>
          <w:rFonts w:eastAsia="Times New Roman" w:cs="Arial"/>
          <w:b/>
        </w:rPr>
        <w:tab/>
        <w:t>Offences that may be dealt with by way of imposing a financial penalty</w:t>
      </w:r>
    </w:p>
    <w:p w:rsidR="0014536C" w:rsidRPr="0014536C" w:rsidRDefault="0014536C" w:rsidP="0014536C">
      <w:pPr>
        <w:spacing w:after="0" w:line="240" w:lineRule="auto"/>
        <w:ind w:left="1134" w:hanging="1134"/>
        <w:rPr>
          <w:rFonts w:eastAsia="Times New Roman" w:cs="Arial"/>
          <w:b/>
        </w:rPr>
      </w:pPr>
    </w:p>
    <w:p w:rsidR="0014536C" w:rsidRPr="0014536C" w:rsidRDefault="0014536C" w:rsidP="0014536C">
      <w:pPr>
        <w:numPr>
          <w:ilvl w:val="0"/>
          <w:numId w:val="17"/>
        </w:numPr>
        <w:spacing w:after="120" w:line="240" w:lineRule="auto"/>
        <w:jc w:val="both"/>
        <w:rPr>
          <w:rFonts w:eastAsia="Times New Roman" w:cs="Arial"/>
        </w:rPr>
      </w:pPr>
      <w:r w:rsidRPr="0014536C">
        <w:rPr>
          <w:rFonts w:eastAsia="Times New Roman" w:cs="Arial"/>
        </w:rPr>
        <w:t xml:space="preserve">The starting point for a civil penalty is based on the number of previous convictions or imposition of a financial penalty for the same type of offence in the previous four years. </w:t>
      </w:r>
    </w:p>
    <w:p w:rsidR="0014536C" w:rsidRPr="0014536C" w:rsidRDefault="0014536C" w:rsidP="0014536C">
      <w:pPr>
        <w:numPr>
          <w:ilvl w:val="0"/>
          <w:numId w:val="17"/>
        </w:numPr>
        <w:spacing w:after="120" w:line="240" w:lineRule="auto"/>
        <w:jc w:val="both"/>
        <w:rPr>
          <w:rFonts w:eastAsia="Times New Roman" w:cs="Arial"/>
        </w:rPr>
      </w:pPr>
      <w:r w:rsidRPr="0014536C">
        <w:rPr>
          <w:rFonts w:eastAsia="Times New Roman" w:cs="Arial"/>
        </w:rPr>
        <w:t>After the starting point has been determined, relevant premiums are added to the starting amount to determine the full civil penalty to be imposed</w:t>
      </w:r>
    </w:p>
    <w:p w:rsidR="0014536C" w:rsidRPr="0014536C" w:rsidRDefault="0014536C" w:rsidP="0014536C">
      <w:pPr>
        <w:numPr>
          <w:ilvl w:val="0"/>
          <w:numId w:val="17"/>
        </w:numPr>
        <w:spacing w:after="120" w:line="240" w:lineRule="auto"/>
        <w:jc w:val="both"/>
        <w:rPr>
          <w:rFonts w:eastAsia="Times New Roman" w:cs="Arial"/>
        </w:rPr>
      </w:pPr>
      <w:r w:rsidRPr="0014536C">
        <w:rPr>
          <w:rFonts w:eastAsia="Times New Roman" w:cs="Arial"/>
        </w:rPr>
        <w:t>No single civil penalty may be over £30,000. Where the addition of all relevant premiums would put the penalty above the maximum, it shall be capped at £30,000</w:t>
      </w:r>
    </w:p>
    <w:p w:rsidR="0014536C" w:rsidRPr="0014536C" w:rsidRDefault="0014536C" w:rsidP="0014536C">
      <w:pPr>
        <w:spacing w:after="0" w:line="240" w:lineRule="auto"/>
        <w:rPr>
          <w:rFonts w:eastAsia="Times New Roman" w:cs="Arial"/>
          <w:b/>
        </w:rPr>
      </w:pPr>
      <w:r w:rsidRPr="0014536C">
        <w:rPr>
          <w:rFonts w:eastAsia="Times New Roman" w:cs="Arial"/>
          <w:b/>
          <w:bCs/>
        </w:rPr>
        <w:t xml:space="preserve">Note 2 - </w:t>
      </w:r>
      <w:r w:rsidRPr="0014536C">
        <w:rPr>
          <w:rFonts w:eastAsia="Times New Roman" w:cs="Arial"/>
          <w:b/>
        </w:rPr>
        <w:t>Subsequent second offence by same person/company</w:t>
      </w:r>
    </w:p>
    <w:p w:rsidR="0014536C" w:rsidRPr="0014536C" w:rsidRDefault="0014536C" w:rsidP="0014536C">
      <w:pPr>
        <w:spacing w:after="0" w:line="240" w:lineRule="auto"/>
        <w:rPr>
          <w:rFonts w:eastAsia="Times New Roman" w:cs="Arial"/>
          <w:b/>
        </w:rPr>
      </w:pPr>
    </w:p>
    <w:p w:rsidR="0014536C" w:rsidRPr="0014536C" w:rsidRDefault="0014536C" w:rsidP="0014536C">
      <w:pPr>
        <w:numPr>
          <w:ilvl w:val="0"/>
          <w:numId w:val="18"/>
        </w:numPr>
        <w:spacing w:after="0" w:line="240" w:lineRule="auto"/>
        <w:rPr>
          <w:rFonts w:eastAsia="Times New Roman" w:cs="Arial"/>
        </w:rPr>
      </w:pPr>
      <w:r w:rsidRPr="0014536C">
        <w:rPr>
          <w:rFonts w:eastAsia="Times New Roman" w:cs="Arial"/>
        </w:rPr>
        <w:t>The Council will take into account any such convictions or financial penalties irrespective of the locality to which the offence relates.</w:t>
      </w:r>
    </w:p>
    <w:p w:rsidR="0014536C" w:rsidRDefault="0014536C" w:rsidP="0014536C">
      <w:pPr>
        <w:spacing w:after="0" w:line="240" w:lineRule="auto"/>
        <w:rPr>
          <w:rFonts w:eastAsia="Times New Roman" w:cs="Arial"/>
        </w:rPr>
      </w:pPr>
    </w:p>
    <w:p w:rsidR="00ED76D1" w:rsidRPr="0014536C" w:rsidRDefault="00ED76D1" w:rsidP="0014536C">
      <w:pPr>
        <w:spacing w:after="0" w:line="240" w:lineRule="auto"/>
        <w:rPr>
          <w:rFonts w:eastAsia="Times New Roman" w:cs="Arial"/>
        </w:rPr>
      </w:pPr>
    </w:p>
    <w:p w:rsidR="0014536C" w:rsidRPr="0014536C" w:rsidRDefault="0014536C" w:rsidP="0014536C">
      <w:pPr>
        <w:spacing w:after="0" w:line="240" w:lineRule="auto"/>
        <w:rPr>
          <w:rFonts w:eastAsia="Times New Roman" w:cs="Arial"/>
          <w:b/>
        </w:rPr>
      </w:pPr>
      <w:r w:rsidRPr="0014536C">
        <w:rPr>
          <w:rFonts w:eastAsia="Times New Roman" w:cs="Arial"/>
          <w:b/>
          <w:bCs/>
        </w:rPr>
        <w:t xml:space="preserve">Note 3 - </w:t>
      </w:r>
      <w:r w:rsidRPr="0014536C">
        <w:rPr>
          <w:rFonts w:eastAsia="Times New Roman" w:cs="Arial"/>
          <w:b/>
        </w:rPr>
        <w:t>Large housing portfolio (10+ units of accommodation)</w:t>
      </w:r>
    </w:p>
    <w:p w:rsidR="0014536C" w:rsidRPr="0014536C" w:rsidRDefault="0014536C" w:rsidP="0014536C">
      <w:pPr>
        <w:spacing w:after="0" w:line="240" w:lineRule="auto"/>
        <w:rPr>
          <w:rFonts w:eastAsia="Times New Roman" w:cs="Arial"/>
          <w:b/>
        </w:rPr>
      </w:pPr>
    </w:p>
    <w:p w:rsidR="0014536C" w:rsidRPr="0014536C" w:rsidRDefault="0014536C" w:rsidP="0014536C">
      <w:pPr>
        <w:numPr>
          <w:ilvl w:val="0"/>
          <w:numId w:val="18"/>
        </w:numPr>
        <w:spacing w:after="120" w:line="240" w:lineRule="auto"/>
        <w:jc w:val="both"/>
        <w:rPr>
          <w:rFonts w:eastAsia="Times New Roman" w:cs="Arial"/>
        </w:rPr>
      </w:pPr>
      <w:r w:rsidRPr="0014536C">
        <w:rPr>
          <w:rFonts w:eastAsia="Times New Roman" w:cs="Arial"/>
        </w:rPr>
        <w:t>The premium is applied where the perpetrator has control or manages 10 or more units of accommodation.</w:t>
      </w:r>
    </w:p>
    <w:p w:rsidR="0014536C" w:rsidRDefault="0014536C" w:rsidP="0014536C">
      <w:pPr>
        <w:numPr>
          <w:ilvl w:val="0"/>
          <w:numId w:val="18"/>
        </w:numPr>
        <w:spacing w:after="120" w:line="240" w:lineRule="auto"/>
        <w:jc w:val="both"/>
        <w:rPr>
          <w:rFonts w:eastAsia="Times New Roman" w:cs="Arial"/>
        </w:rPr>
      </w:pPr>
      <w:r w:rsidRPr="0014536C">
        <w:rPr>
          <w:rFonts w:eastAsia="Times New Roman" w:cs="Arial"/>
        </w:rPr>
        <w:t>For the purposes of this premium, the definition of a person having control and person managing are as defined by Housing Act 2004 Section 263.</w:t>
      </w:r>
    </w:p>
    <w:p w:rsidR="00ED76D1" w:rsidRPr="0014536C" w:rsidRDefault="00ED76D1" w:rsidP="00ED76D1">
      <w:pPr>
        <w:spacing w:after="120" w:line="240" w:lineRule="auto"/>
        <w:ind w:left="360"/>
        <w:jc w:val="both"/>
        <w:rPr>
          <w:rFonts w:eastAsia="Times New Roman" w:cs="Arial"/>
        </w:rPr>
      </w:pPr>
    </w:p>
    <w:p w:rsidR="0014536C" w:rsidRPr="0014536C" w:rsidRDefault="0014536C" w:rsidP="0014536C">
      <w:pPr>
        <w:spacing w:after="0" w:line="240" w:lineRule="auto"/>
        <w:rPr>
          <w:rFonts w:eastAsia="Times New Roman" w:cs="Arial"/>
          <w:b/>
        </w:rPr>
      </w:pPr>
      <w:r w:rsidRPr="0014536C">
        <w:rPr>
          <w:rFonts w:eastAsia="Times New Roman" w:cs="Arial"/>
          <w:b/>
        </w:rPr>
        <w:t>Note 4 - Multiple Category 1 or high Category 2 Hazards</w:t>
      </w:r>
    </w:p>
    <w:p w:rsidR="0014536C" w:rsidRPr="0014536C" w:rsidRDefault="0014536C" w:rsidP="0014536C">
      <w:pPr>
        <w:spacing w:after="0" w:line="240" w:lineRule="auto"/>
        <w:rPr>
          <w:rFonts w:eastAsia="Times New Roman" w:cs="Arial"/>
          <w:b/>
        </w:rPr>
      </w:pPr>
    </w:p>
    <w:p w:rsidR="0014536C" w:rsidRPr="0014536C" w:rsidRDefault="0014536C" w:rsidP="0014536C">
      <w:pPr>
        <w:numPr>
          <w:ilvl w:val="0"/>
          <w:numId w:val="19"/>
        </w:numPr>
        <w:spacing w:after="120" w:line="240" w:lineRule="auto"/>
        <w:jc w:val="both"/>
        <w:rPr>
          <w:rFonts w:eastAsia="Times New Roman" w:cs="Arial"/>
        </w:rPr>
      </w:pPr>
      <w:r w:rsidRPr="0014536C">
        <w:rPr>
          <w:rFonts w:eastAsia="Times New Roman" w:cs="Arial"/>
        </w:rPr>
        <w:t xml:space="preserve">This premium will apply where the failure to comply with the Improvement Notice relates to three or more Category 1 or three or more high scoring Category 2 hazards associated with different building deficiencies. For the avoidance of doubt this means that where two hazards are present but relate to the same property defect, they are counted as one hazard for purposes of this calculation. </w:t>
      </w:r>
    </w:p>
    <w:p w:rsidR="0014536C" w:rsidRPr="0014536C" w:rsidRDefault="0014536C" w:rsidP="0014536C">
      <w:pPr>
        <w:numPr>
          <w:ilvl w:val="0"/>
          <w:numId w:val="19"/>
        </w:numPr>
        <w:spacing w:after="120" w:line="240" w:lineRule="auto"/>
        <w:jc w:val="both"/>
        <w:rPr>
          <w:rFonts w:eastAsia="Times New Roman" w:cs="Arial"/>
        </w:rPr>
      </w:pPr>
      <w:r w:rsidRPr="0014536C">
        <w:rPr>
          <w:rFonts w:eastAsia="Times New Roman" w:cs="Arial"/>
        </w:rPr>
        <w:t>For the purpose of this premium, a high scoring Category 2 hazard is defined as one scored following the Housing Health and Safety Rating System as “D” or “E”.</w:t>
      </w:r>
    </w:p>
    <w:p w:rsidR="0014536C" w:rsidRPr="0014536C" w:rsidRDefault="0014536C" w:rsidP="0014536C">
      <w:pPr>
        <w:spacing w:after="0" w:line="240" w:lineRule="auto"/>
        <w:rPr>
          <w:rFonts w:eastAsia="Times New Roman" w:cs="Arial"/>
          <w:b/>
        </w:rPr>
      </w:pPr>
    </w:p>
    <w:p w:rsidR="0014536C" w:rsidRPr="0014536C" w:rsidRDefault="0014536C" w:rsidP="0014536C">
      <w:pPr>
        <w:spacing w:after="0" w:line="240" w:lineRule="auto"/>
        <w:rPr>
          <w:rFonts w:eastAsia="Times New Roman" w:cs="Arial"/>
          <w:b/>
        </w:rPr>
      </w:pPr>
      <w:r w:rsidRPr="0014536C">
        <w:rPr>
          <w:rFonts w:eastAsia="Times New Roman" w:cs="Arial"/>
          <w:b/>
        </w:rPr>
        <w:t>Note 5 - Vulnerable occupant and/or significant harm occurred as result of housing conditions</w:t>
      </w:r>
    </w:p>
    <w:p w:rsidR="0014536C" w:rsidRPr="0014536C" w:rsidRDefault="0014536C" w:rsidP="0014536C">
      <w:pPr>
        <w:spacing w:after="0" w:line="240" w:lineRule="auto"/>
        <w:rPr>
          <w:rFonts w:eastAsia="Times New Roman" w:cs="Arial"/>
          <w:b/>
        </w:rPr>
      </w:pPr>
    </w:p>
    <w:p w:rsidR="0014536C" w:rsidRPr="0014536C" w:rsidRDefault="0014536C" w:rsidP="0014536C">
      <w:pPr>
        <w:numPr>
          <w:ilvl w:val="0"/>
          <w:numId w:val="20"/>
        </w:numPr>
        <w:spacing w:after="120" w:line="240" w:lineRule="auto"/>
        <w:jc w:val="both"/>
        <w:rPr>
          <w:rFonts w:eastAsia="Times New Roman" w:cs="Arial"/>
        </w:rPr>
      </w:pPr>
      <w:r w:rsidRPr="0014536C">
        <w:rPr>
          <w:rFonts w:eastAsia="Times New Roman" w:cs="Arial"/>
        </w:rPr>
        <w:t>This premium will be applied once, if either the property is occupied by a vulnerable person or if significant harm has occurred as a result of the housing conditions.</w:t>
      </w:r>
    </w:p>
    <w:p w:rsidR="0014536C" w:rsidRPr="0014536C" w:rsidRDefault="0014536C" w:rsidP="0014536C">
      <w:pPr>
        <w:numPr>
          <w:ilvl w:val="0"/>
          <w:numId w:val="20"/>
        </w:numPr>
        <w:spacing w:after="120" w:line="240" w:lineRule="auto"/>
        <w:jc w:val="both"/>
        <w:rPr>
          <w:rFonts w:eastAsia="Times New Roman" w:cs="Arial"/>
        </w:rPr>
      </w:pPr>
      <w:r w:rsidRPr="0014536C">
        <w:rPr>
          <w:rFonts w:eastAsia="Times New Roman" w:cs="Arial"/>
        </w:rPr>
        <w:lastRenderedPageBreak/>
        <w:t>For the purposes of this premium a vulnerable person is defined as someone who forms part of a vulnerable group under Housing Health and Safety Rating System relating to hazards present in the property or an occupant or group of occupants considered by the Council to be at particular risk of harm to which the perpetrator ought to have had regard</w:t>
      </w:r>
      <w:r w:rsidR="00ED76D1">
        <w:rPr>
          <w:rFonts w:eastAsia="Times New Roman" w:cs="Arial"/>
        </w:rPr>
        <w:t xml:space="preserve"> (see table below)</w:t>
      </w:r>
      <w:r w:rsidRPr="0014536C">
        <w:rPr>
          <w:rFonts w:eastAsia="Times New Roman" w:cs="Arial"/>
        </w:rPr>
        <w:t>.</w:t>
      </w:r>
    </w:p>
    <w:p w:rsidR="0014536C" w:rsidRPr="0014536C" w:rsidRDefault="0014536C" w:rsidP="0014536C">
      <w:pPr>
        <w:numPr>
          <w:ilvl w:val="0"/>
          <w:numId w:val="20"/>
        </w:numPr>
        <w:spacing w:after="120" w:line="240" w:lineRule="auto"/>
        <w:jc w:val="both"/>
        <w:rPr>
          <w:rFonts w:eastAsia="Times New Roman" w:cs="Arial"/>
        </w:rPr>
      </w:pPr>
      <w:r w:rsidRPr="0014536C">
        <w:rPr>
          <w:rFonts w:eastAsia="Times New Roman" w:cs="Arial"/>
        </w:rPr>
        <w:t>For the purposes of this premium, significant harm is defined as physical or mental illness or injury that corresponds to one of the four classes of harm under the Housing Health and Safety Rating System Operating Guidance.</w:t>
      </w:r>
    </w:p>
    <w:p w:rsidR="00ED76D1" w:rsidRPr="0014536C" w:rsidRDefault="00ED76D1" w:rsidP="00ED76D1">
      <w:pPr>
        <w:spacing w:after="120" w:line="240" w:lineRule="auto"/>
        <w:jc w:val="both"/>
        <w:rPr>
          <w:rFonts w:eastAsia="Times New Roman" w:cs="Arial"/>
        </w:rPr>
      </w:pPr>
    </w:p>
    <w:tbl>
      <w:tblPr>
        <w:tblW w:w="6940" w:type="dxa"/>
        <w:jc w:val="center"/>
        <w:tblInd w:w="93" w:type="dxa"/>
        <w:tblLook w:val="04A0" w:firstRow="1" w:lastRow="0" w:firstColumn="1" w:lastColumn="0" w:noHBand="0" w:noVBand="1"/>
      </w:tblPr>
      <w:tblGrid>
        <w:gridCol w:w="4633"/>
        <w:gridCol w:w="2307"/>
      </w:tblGrid>
      <w:tr w:rsidR="0014536C" w:rsidRPr="0014536C" w:rsidTr="00895E6D">
        <w:trPr>
          <w:trHeight w:val="600"/>
          <w:jc w:val="center"/>
        </w:trPr>
        <w:tc>
          <w:tcPr>
            <w:tcW w:w="4633" w:type="dxa"/>
            <w:tcBorders>
              <w:top w:val="single" w:sz="4" w:space="0" w:color="auto"/>
              <w:left w:val="single" w:sz="4" w:space="0" w:color="auto"/>
              <w:bottom w:val="single" w:sz="4" w:space="0" w:color="auto"/>
              <w:right w:val="single" w:sz="4" w:space="0" w:color="auto"/>
            </w:tcBorders>
            <w:shd w:val="clear" w:color="auto" w:fill="auto"/>
            <w:noWrap/>
            <w:hideMark/>
          </w:tcPr>
          <w:p w:rsidR="0014536C" w:rsidRPr="0014536C" w:rsidRDefault="0014536C" w:rsidP="0014536C">
            <w:pPr>
              <w:spacing w:after="0" w:line="240" w:lineRule="auto"/>
              <w:jc w:val="center"/>
              <w:rPr>
                <w:rFonts w:eastAsia="Times New Roman" w:cs="Arial"/>
                <w:b/>
                <w:bCs/>
                <w:color w:val="000000"/>
                <w:lang w:eastAsia="en-GB"/>
              </w:rPr>
            </w:pPr>
          </w:p>
          <w:p w:rsidR="0014536C" w:rsidRPr="0014536C" w:rsidRDefault="0014536C" w:rsidP="0014536C">
            <w:pPr>
              <w:spacing w:after="0" w:line="240" w:lineRule="auto"/>
              <w:jc w:val="center"/>
              <w:rPr>
                <w:rFonts w:eastAsia="Times New Roman" w:cs="Arial"/>
                <w:b/>
                <w:bCs/>
                <w:color w:val="000000"/>
                <w:lang w:eastAsia="en-GB"/>
              </w:rPr>
            </w:pPr>
            <w:r w:rsidRPr="0014536C">
              <w:rPr>
                <w:rFonts w:eastAsia="Times New Roman" w:cs="Arial"/>
                <w:b/>
                <w:bCs/>
                <w:color w:val="000000"/>
                <w:lang w:eastAsia="en-GB"/>
              </w:rPr>
              <w:t>Hazard</w:t>
            </w:r>
          </w:p>
        </w:tc>
        <w:tc>
          <w:tcPr>
            <w:tcW w:w="2307" w:type="dxa"/>
            <w:tcBorders>
              <w:top w:val="single" w:sz="4" w:space="0" w:color="auto"/>
              <w:left w:val="nil"/>
              <w:bottom w:val="single" w:sz="4" w:space="0" w:color="auto"/>
              <w:right w:val="single" w:sz="4" w:space="0" w:color="auto"/>
            </w:tcBorders>
            <w:shd w:val="clear" w:color="auto" w:fill="auto"/>
            <w:vAlign w:val="bottom"/>
            <w:hideMark/>
          </w:tcPr>
          <w:p w:rsidR="0014536C" w:rsidRPr="0014536C" w:rsidRDefault="0014536C" w:rsidP="0014536C">
            <w:pPr>
              <w:spacing w:after="0" w:line="240" w:lineRule="auto"/>
              <w:jc w:val="center"/>
              <w:rPr>
                <w:rFonts w:eastAsia="Times New Roman" w:cs="Arial"/>
                <w:b/>
                <w:bCs/>
                <w:color w:val="000000"/>
                <w:lang w:eastAsia="en-GB"/>
              </w:rPr>
            </w:pPr>
            <w:r w:rsidRPr="0014536C">
              <w:rPr>
                <w:rFonts w:eastAsia="Times New Roman" w:cs="Arial"/>
                <w:b/>
                <w:bCs/>
                <w:color w:val="000000"/>
                <w:lang w:eastAsia="en-GB"/>
              </w:rPr>
              <w:t>Vulnerable age</w:t>
            </w:r>
          </w:p>
          <w:p w:rsidR="0014536C" w:rsidRPr="0014536C" w:rsidRDefault="0014536C" w:rsidP="0014536C">
            <w:pPr>
              <w:spacing w:after="0" w:line="240" w:lineRule="auto"/>
              <w:jc w:val="center"/>
              <w:rPr>
                <w:rFonts w:eastAsia="Times New Roman" w:cs="Arial"/>
                <w:b/>
                <w:bCs/>
                <w:color w:val="000000"/>
                <w:lang w:eastAsia="en-GB"/>
              </w:rPr>
            </w:pPr>
            <w:r w:rsidRPr="0014536C">
              <w:rPr>
                <w:rFonts w:eastAsia="Times New Roman" w:cs="Arial"/>
                <w:b/>
                <w:bCs/>
                <w:color w:val="000000"/>
                <w:lang w:eastAsia="en-GB"/>
              </w:rPr>
              <w:t>group (age of</w:t>
            </w:r>
          </w:p>
          <w:p w:rsidR="0014536C" w:rsidRPr="0014536C" w:rsidRDefault="0014536C" w:rsidP="0014536C">
            <w:pPr>
              <w:spacing w:after="0" w:line="240" w:lineRule="auto"/>
              <w:jc w:val="center"/>
              <w:rPr>
                <w:rFonts w:eastAsia="Times New Roman" w:cs="Arial"/>
                <w:b/>
                <w:bCs/>
                <w:color w:val="000000"/>
                <w:lang w:eastAsia="en-GB"/>
              </w:rPr>
            </w:pPr>
            <w:r w:rsidRPr="0014536C">
              <w:rPr>
                <w:rFonts w:eastAsia="Times New Roman" w:cs="Arial"/>
                <w:b/>
                <w:bCs/>
                <w:color w:val="000000"/>
                <w:lang w:eastAsia="en-GB"/>
              </w:rPr>
              <w:t>occupant)</w:t>
            </w:r>
          </w:p>
        </w:tc>
      </w:tr>
      <w:tr w:rsidR="0014536C" w:rsidRPr="0014536C" w:rsidTr="00895E6D">
        <w:trPr>
          <w:trHeight w:val="300"/>
          <w:jc w:val="center"/>
        </w:trPr>
        <w:tc>
          <w:tcPr>
            <w:tcW w:w="4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36C" w:rsidRPr="0014536C" w:rsidRDefault="0014536C" w:rsidP="0014536C">
            <w:pPr>
              <w:spacing w:after="0" w:line="240" w:lineRule="auto"/>
              <w:rPr>
                <w:rFonts w:eastAsia="Times New Roman" w:cs="Arial"/>
                <w:color w:val="000000"/>
                <w:lang w:eastAsia="en-GB"/>
              </w:rPr>
            </w:pPr>
            <w:r w:rsidRPr="0014536C">
              <w:rPr>
                <w:rFonts w:eastAsia="Times New Roman" w:cs="Arial"/>
                <w:color w:val="000000"/>
                <w:lang w:eastAsia="en-GB"/>
              </w:rPr>
              <w:t>Damp and mould growth</w:t>
            </w:r>
          </w:p>
        </w:tc>
        <w:tc>
          <w:tcPr>
            <w:tcW w:w="2307" w:type="dxa"/>
            <w:tcBorders>
              <w:top w:val="single" w:sz="4" w:space="0" w:color="auto"/>
              <w:left w:val="nil"/>
              <w:bottom w:val="single" w:sz="4" w:space="0" w:color="auto"/>
              <w:right w:val="single" w:sz="4" w:space="0" w:color="auto"/>
            </w:tcBorders>
            <w:shd w:val="clear" w:color="auto" w:fill="auto"/>
            <w:noWrap/>
            <w:vAlign w:val="bottom"/>
            <w:hideMark/>
          </w:tcPr>
          <w:p w:rsidR="0014536C" w:rsidRPr="0014536C" w:rsidRDefault="0014536C" w:rsidP="0014536C">
            <w:pPr>
              <w:spacing w:after="0" w:line="240" w:lineRule="auto"/>
              <w:jc w:val="center"/>
              <w:rPr>
                <w:rFonts w:eastAsia="Times New Roman" w:cs="Arial"/>
                <w:color w:val="000000"/>
                <w:lang w:eastAsia="en-GB"/>
              </w:rPr>
            </w:pPr>
            <w:r w:rsidRPr="0014536C">
              <w:rPr>
                <w:rFonts w:eastAsia="Times New Roman" w:cs="Arial"/>
                <w:color w:val="000000"/>
                <w:lang w:eastAsia="en-GB"/>
              </w:rPr>
              <w:t>14 and under</w:t>
            </w:r>
          </w:p>
        </w:tc>
      </w:tr>
      <w:tr w:rsidR="0014536C" w:rsidRPr="0014536C" w:rsidTr="00895E6D">
        <w:trPr>
          <w:trHeight w:val="300"/>
          <w:jc w:val="center"/>
        </w:trPr>
        <w:tc>
          <w:tcPr>
            <w:tcW w:w="4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36C" w:rsidRPr="0014536C" w:rsidRDefault="0014536C" w:rsidP="0014536C">
            <w:pPr>
              <w:spacing w:after="0" w:line="240" w:lineRule="auto"/>
              <w:rPr>
                <w:rFonts w:eastAsia="Times New Roman" w:cs="Arial"/>
                <w:color w:val="000000"/>
                <w:lang w:eastAsia="en-GB"/>
              </w:rPr>
            </w:pPr>
            <w:r w:rsidRPr="0014536C">
              <w:rPr>
                <w:rFonts w:eastAsia="Times New Roman" w:cs="Arial"/>
                <w:color w:val="000000"/>
                <w:lang w:eastAsia="en-GB"/>
              </w:rPr>
              <w:t>Excess cold</w:t>
            </w:r>
          </w:p>
        </w:tc>
        <w:tc>
          <w:tcPr>
            <w:tcW w:w="2307" w:type="dxa"/>
            <w:tcBorders>
              <w:top w:val="single" w:sz="4" w:space="0" w:color="auto"/>
              <w:left w:val="nil"/>
              <w:bottom w:val="single" w:sz="4" w:space="0" w:color="auto"/>
              <w:right w:val="single" w:sz="4" w:space="0" w:color="auto"/>
            </w:tcBorders>
            <w:shd w:val="clear" w:color="auto" w:fill="auto"/>
            <w:noWrap/>
            <w:vAlign w:val="bottom"/>
            <w:hideMark/>
          </w:tcPr>
          <w:p w:rsidR="0014536C" w:rsidRPr="0014536C" w:rsidRDefault="0014536C" w:rsidP="0014536C">
            <w:pPr>
              <w:spacing w:after="0" w:line="240" w:lineRule="auto"/>
              <w:jc w:val="center"/>
              <w:rPr>
                <w:rFonts w:eastAsia="Times New Roman" w:cs="Arial"/>
                <w:color w:val="000000"/>
                <w:lang w:eastAsia="en-GB"/>
              </w:rPr>
            </w:pPr>
            <w:r w:rsidRPr="0014536C">
              <w:rPr>
                <w:rFonts w:eastAsia="Times New Roman" w:cs="Arial"/>
                <w:color w:val="000000"/>
                <w:lang w:eastAsia="en-GB"/>
              </w:rPr>
              <w:t>65 or over</w:t>
            </w:r>
          </w:p>
        </w:tc>
      </w:tr>
      <w:tr w:rsidR="0014536C" w:rsidRPr="0014536C" w:rsidTr="00895E6D">
        <w:trPr>
          <w:trHeight w:val="300"/>
          <w:jc w:val="center"/>
        </w:trPr>
        <w:tc>
          <w:tcPr>
            <w:tcW w:w="4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36C" w:rsidRPr="0014536C" w:rsidRDefault="0014536C" w:rsidP="0014536C">
            <w:pPr>
              <w:spacing w:after="0" w:line="240" w:lineRule="auto"/>
              <w:rPr>
                <w:rFonts w:eastAsia="Times New Roman" w:cs="Arial"/>
                <w:color w:val="000000"/>
                <w:lang w:eastAsia="en-GB"/>
              </w:rPr>
            </w:pPr>
            <w:r w:rsidRPr="0014536C">
              <w:rPr>
                <w:rFonts w:eastAsia="Times New Roman" w:cs="Arial"/>
                <w:color w:val="000000"/>
                <w:lang w:eastAsia="en-GB"/>
              </w:rPr>
              <w:t>Excess heat</w:t>
            </w:r>
          </w:p>
        </w:tc>
        <w:tc>
          <w:tcPr>
            <w:tcW w:w="2307" w:type="dxa"/>
            <w:tcBorders>
              <w:top w:val="single" w:sz="4" w:space="0" w:color="auto"/>
              <w:left w:val="nil"/>
              <w:bottom w:val="single" w:sz="4" w:space="0" w:color="auto"/>
              <w:right w:val="single" w:sz="4" w:space="0" w:color="auto"/>
            </w:tcBorders>
            <w:shd w:val="clear" w:color="auto" w:fill="auto"/>
            <w:noWrap/>
            <w:vAlign w:val="bottom"/>
            <w:hideMark/>
          </w:tcPr>
          <w:p w:rsidR="0014536C" w:rsidRPr="0014536C" w:rsidRDefault="0014536C" w:rsidP="0014536C">
            <w:pPr>
              <w:spacing w:after="0" w:line="240" w:lineRule="auto"/>
              <w:jc w:val="center"/>
              <w:rPr>
                <w:rFonts w:eastAsia="Times New Roman" w:cs="Arial"/>
                <w:color w:val="000000"/>
                <w:lang w:eastAsia="en-GB"/>
              </w:rPr>
            </w:pPr>
            <w:r w:rsidRPr="0014536C">
              <w:rPr>
                <w:rFonts w:eastAsia="Times New Roman" w:cs="Arial"/>
                <w:color w:val="000000"/>
                <w:lang w:eastAsia="en-GB"/>
              </w:rPr>
              <w:t>65 or over</w:t>
            </w:r>
          </w:p>
        </w:tc>
      </w:tr>
      <w:tr w:rsidR="0014536C" w:rsidRPr="0014536C" w:rsidTr="00895E6D">
        <w:trPr>
          <w:trHeight w:val="300"/>
          <w:jc w:val="center"/>
        </w:trPr>
        <w:tc>
          <w:tcPr>
            <w:tcW w:w="4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36C" w:rsidRPr="0014536C" w:rsidRDefault="0014536C" w:rsidP="0014536C">
            <w:pPr>
              <w:spacing w:after="0" w:line="240" w:lineRule="auto"/>
              <w:rPr>
                <w:rFonts w:eastAsia="Times New Roman" w:cs="Arial"/>
                <w:color w:val="000000"/>
                <w:lang w:eastAsia="en-GB"/>
              </w:rPr>
            </w:pPr>
            <w:r w:rsidRPr="0014536C">
              <w:rPr>
                <w:rFonts w:eastAsia="Times New Roman" w:cs="Arial"/>
                <w:color w:val="000000"/>
                <w:lang w:eastAsia="en-GB"/>
              </w:rPr>
              <w:t xml:space="preserve">Carbon Monoxide </w:t>
            </w:r>
          </w:p>
        </w:tc>
        <w:tc>
          <w:tcPr>
            <w:tcW w:w="2307" w:type="dxa"/>
            <w:tcBorders>
              <w:top w:val="single" w:sz="4" w:space="0" w:color="auto"/>
              <w:left w:val="nil"/>
              <w:bottom w:val="single" w:sz="4" w:space="0" w:color="auto"/>
              <w:right w:val="single" w:sz="4" w:space="0" w:color="auto"/>
            </w:tcBorders>
            <w:shd w:val="clear" w:color="auto" w:fill="auto"/>
            <w:noWrap/>
            <w:vAlign w:val="bottom"/>
            <w:hideMark/>
          </w:tcPr>
          <w:p w:rsidR="0014536C" w:rsidRPr="0014536C" w:rsidRDefault="0014536C" w:rsidP="0014536C">
            <w:pPr>
              <w:spacing w:after="0" w:line="240" w:lineRule="auto"/>
              <w:jc w:val="center"/>
              <w:rPr>
                <w:rFonts w:eastAsia="Times New Roman" w:cs="Arial"/>
                <w:color w:val="000000"/>
                <w:lang w:eastAsia="en-GB"/>
              </w:rPr>
            </w:pPr>
            <w:r w:rsidRPr="0014536C">
              <w:rPr>
                <w:rFonts w:eastAsia="Times New Roman" w:cs="Arial"/>
                <w:color w:val="000000"/>
                <w:lang w:eastAsia="en-GB"/>
              </w:rPr>
              <w:t>65 or over</w:t>
            </w:r>
          </w:p>
        </w:tc>
      </w:tr>
      <w:tr w:rsidR="0014536C" w:rsidRPr="0014536C" w:rsidTr="00895E6D">
        <w:trPr>
          <w:trHeight w:val="300"/>
          <w:jc w:val="center"/>
        </w:trPr>
        <w:tc>
          <w:tcPr>
            <w:tcW w:w="4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36C" w:rsidRPr="0014536C" w:rsidRDefault="0014536C" w:rsidP="0014536C">
            <w:pPr>
              <w:spacing w:after="0" w:line="240" w:lineRule="auto"/>
              <w:rPr>
                <w:rFonts w:eastAsia="Times New Roman" w:cs="Arial"/>
                <w:color w:val="000000"/>
                <w:lang w:eastAsia="en-GB"/>
              </w:rPr>
            </w:pPr>
            <w:r w:rsidRPr="0014536C">
              <w:rPr>
                <w:rFonts w:eastAsia="Times New Roman" w:cs="Arial"/>
                <w:color w:val="000000"/>
                <w:lang w:eastAsia="en-GB"/>
              </w:rPr>
              <w:t>Lead</w:t>
            </w:r>
          </w:p>
        </w:tc>
        <w:tc>
          <w:tcPr>
            <w:tcW w:w="2307" w:type="dxa"/>
            <w:tcBorders>
              <w:top w:val="single" w:sz="4" w:space="0" w:color="auto"/>
              <w:left w:val="nil"/>
              <w:bottom w:val="single" w:sz="4" w:space="0" w:color="auto"/>
              <w:right w:val="single" w:sz="4" w:space="0" w:color="auto"/>
            </w:tcBorders>
            <w:shd w:val="clear" w:color="auto" w:fill="auto"/>
            <w:noWrap/>
            <w:vAlign w:val="bottom"/>
            <w:hideMark/>
          </w:tcPr>
          <w:p w:rsidR="0014536C" w:rsidRPr="0014536C" w:rsidRDefault="0014536C" w:rsidP="0014536C">
            <w:pPr>
              <w:spacing w:after="0" w:line="240" w:lineRule="auto"/>
              <w:jc w:val="center"/>
              <w:rPr>
                <w:rFonts w:eastAsia="Times New Roman" w:cs="Arial"/>
                <w:color w:val="000000"/>
                <w:lang w:eastAsia="en-GB"/>
              </w:rPr>
            </w:pPr>
            <w:r w:rsidRPr="0014536C">
              <w:rPr>
                <w:rFonts w:eastAsia="Times New Roman" w:cs="Arial"/>
                <w:color w:val="000000"/>
                <w:lang w:eastAsia="en-GB"/>
              </w:rPr>
              <w:t>under 3 years</w:t>
            </w:r>
          </w:p>
        </w:tc>
      </w:tr>
      <w:tr w:rsidR="0014536C" w:rsidRPr="0014536C" w:rsidTr="00895E6D">
        <w:trPr>
          <w:trHeight w:val="300"/>
          <w:jc w:val="center"/>
        </w:trPr>
        <w:tc>
          <w:tcPr>
            <w:tcW w:w="4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36C" w:rsidRPr="0014536C" w:rsidRDefault="0014536C" w:rsidP="0014536C">
            <w:pPr>
              <w:spacing w:after="0" w:line="240" w:lineRule="auto"/>
              <w:rPr>
                <w:rFonts w:eastAsia="Times New Roman" w:cs="Arial"/>
                <w:color w:val="000000"/>
                <w:lang w:eastAsia="en-GB"/>
              </w:rPr>
            </w:pPr>
            <w:r w:rsidRPr="0014536C">
              <w:rPr>
                <w:rFonts w:eastAsia="Times New Roman" w:cs="Arial"/>
                <w:color w:val="000000"/>
                <w:lang w:eastAsia="en-GB"/>
              </w:rPr>
              <w:t>Personal hygiene, sanitation and drainage</w:t>
            </w:r>
          </w:p>
        </w:tc>
        <w:tc>
          <w:tcPr>
            <w:tcW w:w="2307" w:type="dxa"/>
            <w:tcBorders>
              <w:top w:val="single" w:sz="4" w:space="0" w:color="auto"/>
              <w:left w:val="nil"/>
              <w:bottom w:val="single" w:sz="4" w:space="0" w:color="auto"/>
              <w:right w:val="single" w:sz="4" w:space="0" w:color="auto"/>
            </w:tcBorders>
            <w:shd w:val="clear" w:color="auto" w:fill="auto"/>
            <w:noWrap/>
            <w:vAlign w:val="bottom"/>
            <w:hideMark/>
          </w:tcPr>
          <w:p w:rsidR="0014536C" w:rsidRPr="0014536C" w:rsidRDefault="0014536C" w:rsidP="0014536C">
            <w:pPr>
              <w:spacing w:after="0" w:line="240" w:lineRule="auto"/>
              <w:jc w:val="center"/>
              <w:rPr>
                <w:rFonts w:eastAsia="Times New Roman" w:cs="Arial"/>
                <w:color w:val="000000"/>
                <w:lang w:eastAsia="en-GB"/>
              </w:rPr>
            </w:pPr>
            <w:r w:rsidRPr="0014536C">
              <w:rPr>
                <w:rFonts w:eastAsia="Times New Roman" w:cs="Arial"/>
                <w:color w:val="000000"/>
                <w:lang w:eastAsia="en-GB"/>
              </w:rPr>
              <w:t>under 5 years</w:t>
            </w:r>
          </w:p>
        </w:tc>
      </w:tr>
      <w:tr w:rsidR="0014536C" w:rsidRPr="0014536C" w:rsidTr="00895E6D">
        <w:trPr>
          <w:trHeight w:val="300"/>
          <w:jc w:val="center"/>
        </w:trPr>
        <w:tc>
          <w:tcPr>
            <w:tcW w:w="4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36C" w:rsidRPr="0014536C" w:rsidRDefault="0014536C" w:rsidP="0014536C">
            <w:pPr>
              <w:spacing w:after="0" w:line="240" w:lineRule="auto"/>
              <w:rPr>
                <w:rFonts w:eastAsia="Times New Roman" w:cs="Arial"/>
                <w:color w:val="000000"/>
                <w:lang w:eastAsia="en-GB"/>
              </w:rPr>
            </w:pPr>
            <w:r w:rsidRPr="0014536C">
              <w:rPr>
                <w:rFonts w:eastAsia="Times New Roman" w:cs="Arial"/>
                <w:color w:val="000000"/>
                <w:lang w:eastAsia="en-GB"/>
              </w:rPr>
              <w:t>Falls associated with baths etc.</w:t>
            </w:r>
          </w:p>
        </w:tc>
        <w:tc>
          <w:tcPr>
            <w:tcW w:w="2307" w:type="dxa"/>
            <w:tcBorders>
              <w:top w:val="single" w:sz="4" w:space="0" w:color="auto"/>
              <w:left w:val="nil"/>
              <w:bottom w:val="single" w:sz="4" w:space="0" w:color="auto"/>
              <w:right w:val="single" w:sz="4" w:space="0" w:color="auto"/>
            </w:tcBorders>
            <w:shd w:val="clear" w:color="auto" w:fill="auto"/>
            <w:noWrap/>
            <w:vAlign w:val="bottom"/>
            <w:hideMark/>
          </w:tcPr>
          <w:p w:rsidR="0014536C" w:rsidRPr="0014536C" w:rsidRDefault="0014536C" w:rsidP="0014536C">
            <w:pPr>
              <w:spacing w:after="0" w:line="240" w:lineRule="auto"/>
              <w:jc w:val="center"/>
              <w:rPr>
                <w:rFonts w:eastAsia="Times New Roman" w:cs="Arial"/>
                <w:color w:val="000000"/>
                <w:lang w:eastAsia="en-GB"/>
              </w:rPr>
            </w:pPr>
            <w:r w:rsidRPr="0014536C">
              <w:rPr>
                <w:rFonts w:eastAsia="Times New Roman" w:cs="Arial"/>
                <w:color w:val="000000"/>
                <w:lang w:eastAsia="en-GB"/>
              </w:rPr>
              <w:t>60 or over</w:t>
            </w:r>
          </w:p>
        </w:tc>
      </w:tr>
      <w:tr w:rsidR="0014536C" w:rsidRPr="0014536C" w:rsidTr="00895E6D">
        <w:trPr>
          <w:trHeight w:val="300"/>
          <w:jc w:val="center"/>
        </w:trPr>
        <w:tc>
          <w:tcPr>
            <w:tcW w:w="4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36C" w:rsidRPr="0014536C" w:rsidRDefault="0014536C" w:rsidP="0014536C">
            <w:pPr>
              <w:spacing w:after="0" w:line="240" w:lineRule="auto"/>
              <w:rPr>
                <w:rFonts w:eastAsia="Times New Roman" w:cs="Arial"/>
                <w:color w:val="000000"/>
                <w:lang w:eastAsia="en-GB"/>
              </w:rPr>
            </w:pPr>
            <w:r w:rsidRPr="0014536C">
              <w:rPr>
                <w:rFonts w:eastAsia="Times New Roman" w:cs="Arial"/>
                <w:color w:val="000000"/>
                <w:lang w:eastAsia="en-GB"/>
              </w:rPr>
              <w:t>Falling on level surfaces etc.</w:t>
            </w:r>
          </w:p>
        </w:tc>
        <w:tc>
          <w:tcPr>
            <w:tcW w:w="2307" w:type="dxa"/>
            <w:tcBorders>
              <w:top w:val="single" w:sz="4" w:space="0" w:color="auto"/>
              <w:left w:val="nil"/>
              <w:bottom w:val="single" w:sz="4" w:space="0" w:color="auto"/>
              <w:right w:val="single" w:sz="4" w:space="0" w:color="auto"/>
            </w:tcBorders>
            <w:shd w:val="clear" w:color="auto" w:fill="auto"/>
            <w:noWrap/>
            <w:vAlign w:val="bottom"/>
            <w:hideMark/>
          </w:tcPr>
          <w:p w:rsidR="0014536C" w:rsidRPr="0014536C" w:rsidRDefault="0014536C" w:rsidP="0014536C">
            <w:pPr>
              <w:spacing w:after="0" w:line="240" w:lineRule="auto"/>
              <w:jc w:val="center"/>
              <w:rPr>
                <w:rFonts w:eastAsia="Times New Roman" w:cs="Arial"/>
                <w:color w:val="000000"/>
                <w:lang w:eastAsia="en-GB"/>
              </w:rPr>
            </w:pPr>
            <w:r w:rsidRPr="0014536C">
              <w:rPr>
                <w:rFonts w:eastAsia="Times New Roman" w:cs="Arial"/>
                <w:color w:val="000000"/>
                <w:lang w:eastAsia="en-GB"/>
              </w:rPr>
              <w:t>60 or over</w:t>
            </w:r>
          </w:p>
        </w:tc>
      </w:tr>
      <w:tr w:rsidR="0014536C" w:rsidRPr="0014536C" w:rsidTr="00895E6D">
        <w:trPr>
          <w:trHeight w:val="300"/>
          <w:jc w:val="center"/>
        </w:trPr>
        <w:tc>
          <w:tcPr>
            <w:tcW w:w="4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36C" w:rsidRPr="0014536C" w:rsidRDefault="0014536C" w:rsidP="0014536C">
            <w:pPr>
              <w:spacing w:after="0" w:line="240" w:lineRule="auto"/>
              <w:rPr>
                <w:rFonts w:eastAsia="Times New Roman" w:cs="Arial"/>
                <w:color w:val="000000"/>
                <w:lang w:eastAsia="en-GB"/>
              </w:rPr>
            </w:pPr>
            <w:r w:rsidRPr="0014536C">
              <w:rPr>
                <w:rFonts w:eastAsia="Times New Roman" w:cs="Arial"/>
                <w:color w:val="000000"/>
                <w:lang w:eastAsia="en-GB"/>
              </w:rPr>
              <w:t>Falling on stairs etc.</w:t>
            </w:r>
          </w:p>
        </w:tc>
        <w:tc>
          <w:tcPr>
            <w:tcW w:w="2307" w:type="dxa"/>
            <w:tcBorders>
              <w:top w:val="single" w:sz="4" w:space="0" w:color="auto"/>
              <w:left w:val="nil"/>
              <w:bottom w:val="single" w:sz="4" w:space="0" w:color="auto"/>
              <w:right w:val="single" w:sz="4" w:space="0" w:color="auto"/>
            </w:tcBorders>
            <w:shd w:val="clear" w:color="auto" w:fill="auto"/>
            <w:noWrap/>
            <w:vAlign w:val="bottom"/>
            <w:hideMark/>
          </w:tcPr>
          <w:p w:rsidR="0014536C" w:rsidRPr="0014536C" w:rsidRDefault="0014536C" w:rsidP="0014536C">
            <w:pPr>
              <w:spacing w:after="0" w:line="240" w:lineRule="auto"/>
              <w:jc w:val="center"/>
              <w:rPr>
                <w:rFonts w:eastAsia="Times New Roman" w:cs="Arial"/>
                <w:color w:val="000000"/>
                <w:lang w:eastAsia="en-GB"/>
              </w:rPr>
            </w:pPr>
            <w:r w:rsidRPr="0014536C">
              <w:rPr>
                <w:rFonts w:eastAsia="Times New Roman" w:cs="Arial"/>
                <w:color w:val="000000"/>
                <w:lang w:eastAsia="en-GB"/>
              </w:rPr>
              <w:t>60 or over</w:t>
            </w:r>
          </w:p>
        </w:tc>
      </w:tr>
      <w:tr w:rsidR="0014536C" w:rsidRPr="0014536C" w:rsidTr="00895E6D">
        <w:trPr>
          <w:trHeight w:val="300"/>
          <w:jc w:val="center"/>
        </w:trPr>
        <w:tc>
          <w:tcPr>
            <w:tcW w:w="4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36C" w:rsidRPr="0014536C" w:rsidRDefault="0014536C" w:rsidP="0014536C">
            <w:pPr>
              <w:spacing w:after="0" w:line="240" w:lineRule="auto"/>
              <w:rPr>
                <w:rFonts w:eastAsia="Times New Roman" w:cs="Arial"/>
                <w:color w:val="000000"/>
                <w:lang w:eastAsia="en-GB"/>
              </w:rPr>
            </w:pPr>
            <w:r w:rsidRPr="0014536C">
              <w:rPr>
                <w:rFonts w:eastAsia="Times New Roman" w:cs="Arial"/>
                <w:color w:val="000000"/>
                <w:lang w:eastAsia="en-GB"/>
              </w:rPr>
              <w:t>Falling between levels</w:t>
            </w:r>
          </w:p>
        </w:tc>
        <w:tc>
          <w:tcPr>
            <w:tcW w:w="2307" w:type="dxa"/>
            <w:tcBorders>
              <w:top w:val="single" w:sz="4" w:space="0" w:color="auto"/>
              <w:left w:val="nil"/>
              <w:bottom w:val="single" w:sz="4" w:space="0" w:color="auto"/>
              <w:right w:val="single" w:sz="4" w:space="0" w:color="auto"/>
            </w:tcBorders>
            <w:shd w:val="clear" w:color="auto" w:fill="auto"/>
            <w:noWrap/>
            <w:vAlign w:val="bottom"/>
            <w:hideMark/>
          </w:tcPr>
          <w:p w:rsidR="0014536C" w:rsidRPr="0014536C" w:rsidRDefault="0014536C" w:rsidP="0014536C">
            <w:pPr>
              <w:spacing w:after="0" w:line="240" w:lineRule="auto"/>
              <w:jc w:val="center"/>
              <w:rPr>
                <w:rFonts w:eastAsia="Times New Roman" w:cs="Arial"/>
                <w:color w:val="000000"/>
                <w:lang w:eastAsia="en-GB"/>
              </w:rPr>
            </w:pPr>
            <w:r w:rsidRPr="0014536C">
              <w:rPr>
                <w:rFonts w:eastAsia="Times New Roman" w:cs="Arial"/>
                <w:color w:val="000000"/>
                <w:lang w:eastAsia="en-GB"/>
              </w:rPr>
              <w:t>under 5 years</w:t>
            </w:r>
          </w:p>
        </w:tc>
      </w:tr>
      <w:tr w:rsidR="0014536C" w:rsidRPr="0014536C" w:rsidTr="00895E6D">
        <w:trPr>
          <w:trHeight w:val="300"/>
          <w:jc w:val="center"/>
        </w:trPr>
        <w:tc>
          <w:tcPr>
            <w:tcW w:w="4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36C" w:rsidRPr="0014536C" w:rsidRDefault="0014536C" w:rsidP="0014536C">
            <w:pPr>
              <w:spacing w:after="0" w:line="240" w:lineRule="auto"/>
              <w:rPr>
                <w:rFonts w:eastAsia="Times New Roman" w:cs="Arial"/>
                <w:color w:val="000000"/>
                <w:lang w:eastAsia="en-GB"/>
              </w:rPr>
            </w:pPr>
            <w:r w:rsidRPr="0014536C">
              <w:rPr>
                <w:rFonts w:eastAsia="Times New Roman" w:cs="Arial"/>
                <w:color w:val="000000"/>
                <w:lang w:eastAsia="en-GB"/>
              </w:rPr>
              <w:t>Electrical hazards</w:t>
            </w:r>
          </w:p>
        </w:tc>
        <w:tc>
          <w:tcPr>
            <w:tcW w:w="2307" w:type="dxa"/>
            <w:tcBorders>
              <w:top w:val="single" w:sz="4" w:space="0" w:color="auto"/>
              <w:left w:val="nil"/>
              <w:bottom w:val="single" w:sz="4" w:space="0" w:color="auto"/>
              <w:right w:val="single" w:sz="4" w:space="0" w:color="auto"/>
            </w:tcBorders>
            <w:shd w:val="clear" w:color="auto" w:fill="auto"/>
            <w:noWrap/>
            <w:vAlign w:val="bottom"/>
            <w:hideMark/>
          </w:tcPr>
          <w:p w:rsidR="0014536C" w:rsidRPr="0014536C" w:rsidRDefault="0014536C" w:rsidP="0014536C">
            <w:pPr>
              <w:spacing w:after="0" w:line="240" w:lineRule="auto"/>
              <w:jc w:val="center"/>
              <w:rPr>
                <w:rFonts w:eastAsia="Times New Roman" w:cs="Arial"/>
                <w:color w:val="000000"/>
                <w:lang w:eastAsia="en-GB"/>
              </w:rPr>
            </w:pPr>
            <w:r w:rsidRPr="0014536C">
              <w:rPr>
                <w:rFonts w:eastAsia="Times New Roman" w:cs="Arial"/>
                <w:color w:val="000000"/>
                <w:lang w:eastAsia="en-GB"/>
              </w:rPr>
              <w:t>under 5 years</w:t>
            </w:r>
          </w:p>
        </w:tc>
      </w:tr>
      <w:tr w:rsidR="0014536C" w:rsidRPr="0014536C" w:rsidTr="00895E6D">
        <w:trPr>
          <w:trHeight w:val="300"/>
          <w:jc w:val="center"/>
        </w:trPr>
        <w:tc>
          <w:tcPr>
            <w:tcW w:w="4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36C" w:rsidRPr="0014536C" w:rsidRDefault="0014536C" w:rsidP="0014536C">
            <w:pPr>
              <w:spacing w:after="0" w:line="240" w:lineRule="auto"/>
              <w:rPr>
                <w:rFonts w:eastAsia="Times New Roman" w:cs="Arial"/>
                <w:color w:val="000000"/>
                <w:lang w:eastAsia="en-GB"/>
              </w:rPr>
            </w:pPr>
            <w:r w:rsidRPr="0014536C">
              <w:rPr>
                <w:rFonts w:eastAsia="Times New Roman" w:cs="Arial"/>
                <w:color w:val="000000"/>
                <w:lang w:eastAsia="en-GB"/>
              </w:rPr>
              <w:t>Fire</w:t>
            </w:r>
          </w:p>
        </w:tc>
        <w:tc>
          <w:tcPr>
            <w:tcW w:w="2307" w:type="dxa"/>
            <w:tcBorders>
              <w:top w:val="single" w:sz="4" w:space="0" w:color="auto"/>
              <w:left w:val="nil"/>
              <w:bottom w:val="single" w:sz="4" w:space="0" w:color="auto"/>
              <w:right w:val="single" w:sz="4" w:space="0" w:color="auto"/>
            </w:tcBorders>
            <w:shd w:val="clear" w:color="auto" w:fill="auto"/>
            <w:noWrap/>
            <w:vAlign w:val="bottom"/>
            <w:hideMark/>
          </w:tcPr>
          <w:p w:rsidR="0014536C" w:rsidRPr="0014536C" w:rsidRDefault="0014536C" w:rsidP="0014536C">
            <w:pPr>
              <w:spacing w:after="0" w:line="240" w:lineRule="auto"/>
              <w:jc w:val="center"/>
              <w:rPr>
                <w:rFonts w:eastAsia="Times New Roman" w:cs="Arial"/>
                <w:color w:val="000000"/>
                <w:lang w:eastAsia="en-GB"/>
              </w:rPr>
            </w:pPr>
            <w:r w:rsidRPr="0014536C">
              <w:rPr>
                <w:rFonts w:eastAsia="Times New Roman" w:cs="Arial"/>
                <w:color w:val="000000"/>
                <w:lang w:eastAsia="en-GB"/>
              </w:rPr>
              <w:t>60 or over</w:t>
            </w:r>
          </w:p>
        </w:tc>
      </w:tr>
      <w:tr w:rsidR="0014536C" w:rsidRPr="0014536C" w:rsidTr="00895E6D">
        <w:trPr>
          <w:trHeight w:val="300"/>
          <w:jc w:val="center"/>
        </w:trPr>
        <w:tc>
          <w:tcPr>
            <w:tcW w:w="4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36C" w:rsidRPr="0014536C" w:rsidRDefault="0014536C" w:rsidP="0014536C">
            <w:pPr>
              <w:spacing w:after="0" w:line="240" w:lineRule="auto"/>
              <w:rPr>
                <w:rFonts w:eastAsia="Times New Roman" w:cs="Arial"/>
                <w:color w:val="000000"/>
                <w:lang w:eastAsia="en-GB"/>
              </w:rPr>
            </w:pPr>
            <w:r w:rsidRPr="0014536C">
              <w:rPr>
                <w:rFonts w:eastAsia="Times New Roman" w:cs="Arial"/>
                <w:color w:val="000000"/>
                <w:lang w:eastAsia="en-GB"/>
              </w:rPr>
              <w:t>Flames, hot surfaces etc.</w:t>
            </w:r>
          </w:p>
        </w:tc>
        <w:tc>
          <w:tcPr>
            <w:tcW w:w="2307" w:type="dxa"/>
            <w:tcBorders>
              <w:top w:val="single" w:sz="4" w:space="0" w:color="auto"/>
              <w:left w:val="nil"/>
              <w:bottom w:val="single" w:sz="4" w:space="0" w:color="auto"/>
              <w:right w:val="single" w:sz="4" w:space="0" w:color="auto"/>
            </w:tcBorders>
            <w:shd w:val="clear" w:color="auto" w:fill="auto"/>
            <w:noWrap/>
            <w:vAlign w:val="bottom"/>
            <w:hideMark/>
          </w:tcPr>
          <w:p w:rsidR="0014536C" w:rsidRPr="0014536C" w:rsidRDefault="0014536C" w:rsidP="0014536C">
            <w:pPr>
              <w:spacing w:after="0" w:line="240" w:lineRule="auto"/>
              <w:jc w:val="center"/>
              <w:rPr>
                <w:rFonts w:eastAsia="Times New Roman" w:cs="Arial"/>
                <w:color w:val="000000"/>
                <w:lang w:eastAsia="en-GB"/>
              </w:rPr>
            </w:pPr>
            <w:r w:rsidRPr="0014536C">
              <w:rPr>
                <w:rFonts w:eastAsia="Times New Roman" w:cs="Arial"/>
                <w:color w:val="000000"/>
                <w:lang w:eastAsia="en-GB"/>
              </w:rPr>
              <w:t>under 5 years</w:t>
            </w:r>
          </w:p>
        </w:tc>
      </w:tr>
      <w:tr w:rsidR="0014536C" w:rsidRPr="0014536C" w:rsidTr="00895E6D">
        <w:trPr>
          <w:trHeight w:val="300"/>
          <w:jc w:val="center"/>
        </w:trPr>
        <w:tc>
          <w:tcPr>
            <w:tcW w:w="4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36C" w:rsidRPr="0014536C" w:rsidRDefault="0014536C" w:rsidP="0014536C">
            <w:pPr>
              <w:spacing w:after="0" w:line="240" w:lineRule="auto"/>
              <w:rPr>
                <w:rFonts w:eastAsia="Times New Roman" w:cs="Arial"/>
                <w:color w:val="000000"/>
                <w:lang w:eastAsia="en-GB"/>
              </w:rPr>
            </w:pPr>
            <w:r w:rsidRPr="0014536C">
              <w:rPr>
                <w:rFonts w:eastAsia="Times New Roman" w:cs="Arial"/>
                <w:color w:val="000000"/>
                <w:lang w:eastAsia="en-GB"/>
              </w:rPr>
              <w:t>Collision and entrapment</w:t>
            </w:r>
          </w:p>
        </w:tc>
        <w:tc>
          <w:tcPr>
            <w:tcW w:w="2307" w:type="dxa"/>
            <w:tcBorders>
              <w:top w:val="single" w:sz="4" w:space="0" w:color="auto"/>
              <w:left w:val="nil"/>
              <w:bottom w:val="single" w:sz="4" w:space="0" w:color="auto"/>
              <w:right w:val="single" w:sz="4" w:space="0" w:color="auto"/>
            </w:tcBorders>
            <w:shd w:val="clear" w:color="auto" w:fill="auto"/>
            <w:noWrap/>
            <w:vAlign w:val="bottom"/>
            <w:hideMark/>
          </w:tcPr>
          <w:p w:rsidR="0014536C" w:rsidRPr="0014536C" w:rsidRDefault="0014536C" w:rsidP="0014536C">
            <w:pPr>
              <w:spacing w:after="0" w:line="240" w:lineRule="auto"/>
              <w:jc w:val="center"/>
              <w:rPr>
                <w:rFonts w:eastAsia="Times New Roman" w:cs="Arial"/>
                <w:color w:val="000000"/>
                <w:lang w:eastAsia="en-GB"/>
              </w:rPr>
            </w:pPr>
            <w:r w:rsidRPr="0014536C">
              <w:rPr>
                <w:rFonts w:eastAsia="Times New Roman" w:cs="Arial"/>
                <w:color w:val="000000"/>
                <w:lang w:eastAsia="en-GB"/>
              </w:rPr>
              <w:t>under 5 years</w:t>
            </w:r>
          </w:p>
        </w:tc>
      </w:tr>
      <w:tr w:rsidR="0014536C" w:rsidRPr="0014536C" w:rsidTr="00895E6D">
        <w:trPr>
          <w:trHeight w:val="300"/>
          <w:jc w:val="center"/>
        </w:trPr>
        <w:tc>
          <w:tcPr>
            <w:tcW w:w="4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36C" w:rsidRPr="0014536C" w:rsidRDefault="0014536C" w:rsidP="0014536C">
            <w:pPr>
              <w:spacing w:after="0" w:line="240" w:lineRule="auto"/>
              <w:rPr>
                <w:rFonts w:eastAsia="Times New Roman" w:cs="Arial"/>
                <w:color w:val="000000"/>
                <w:lang w:eastAsia="en-GB"/>
              </w:rPr>
            </w:pPr>
            <w:r w:rsidRPr="0014536C">
              <w:rPr>
                <w:rFonts w:eastAsia="Times New Roman" w:cs="Arial"/>
                <w:color w:val="000000"/>
                <w:lang w:eastAsia="en-GB"/>
              </w:rPr>
              <w:t>Collision and entrapment - low headroom</w:t>
            </w:r>
          </w:p>
        </w:tc>
        <w:tc>
          <w:tcPr>
            <w:tcW w:w="2307" w:type="dxa"/>
            <w:tcBorders>
              <w:top w:val="single" w:sz="4" w:space="0" w:color="auto"/>
              <w:left w:val="nil"/>
              <w:bottom w:val="single" w:sz="4" w:space="0" w:color="auto"/>
              <w:right w:val="single" w:sz="4" w:space="0" w:color="auto"/>
            </w:tcBorders>
            <w:shd w:val="clear" w:color="auto" w:fill="auto"/>
            <w:noWrap/>
            <w:vAlign w:val="bottom"/>
            <w:hideMark/>
          </w:tcPr>
          <w:p w:rsidR="0014536C" w:rsidRPr="0014536C" w:rsidRDefault="0014536C" w:rsidP="0014536C">
            <w:pPr>
              <w:spacing w:after="0" w:line="240" w:lineRule="auto"/>
              <w:jc w:val="center"/>
              <w:rPr>
                <w:rFonts w:eastAsia="Times New Roman" w:cs="Arial"/>
                <w:color w:val="000000"/>
                <w:lang w:eastAsia="en-GB"/>
              </w:rPr>
            </w:pPr>
            <w:r w:rsidRPr="0014536C">
              <w:rPr>
                <w:rFonts w:eastAsia="Times New Roman" w:cs="Arial"/>
                <w:color w:val="000000"/>
                <w:lang w:eastAsia="en-GB"/>
              </w:rPr>
              <w:t>16 or over</w:t>
            </w:r>
          </w:p>
        </w:tc>
      </w:tr>
      <w:tr w:rsidR="0014536C" w:rsidRPr="0014536C" w:rsidTr="00895E6D">
        <w:trPr>
          <w:trHeight w:val="300"/>
          <w:jc w:val="center"/>
        </w:trPr>
        <w:tc>
          <w:tcPr>
            <w:tcW w:w="4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536C" w:rsidRPr="0014536C" w:rsidRDefault="0014536C" w:rsidP="0014536C">
            <w:pPr>
              <w:spacing w:after="0" w:line="240" w:lineRule="auto"/>
              <w:rPr>
                <w:rFonts w:eastAsia="Times New Roman" w:cs="Arial"/>
                <w:color w:val="000000"/>
                <w:lang w:eastAsia="en-GB"/>
              </w:rPr>
            </w:pPr>
            <w:r w:rsidRPr="0014536C">
              <w:rPr>
                <w:rFonts w:eastAsia="Times New Roman" w:cs="Arial"/>
                <w:color w:val="000000"/>
                <w:lang w:eastAsia="en-GB"/>
              </w:rPr>
              <w:t>Position and operability of amenities etc.</w:t>
            </w:r>
          </w:p>
        </w:tc>
        <w:tc>
          <w:tcPr>
            <w:tcW w:w="2307" w:type="dxa"/>
            <w:tcBorders>
              <w:top w:val="single" w:sz="4" w:space="0" w:color="auto"/>
              <w:left w:val="nil"/>
              <w:bottom w:val="single" w:sz="4" w:space="0" w:color="auto"/>
              <w:right w:val="single" w:sz="4" w:space="0" w:color="auto"/>
            </w:tcBorders>
            <w:shd w:val="clear" w:color="auto" w:fill="auto"/>
            <w:noWrap/>
            <w:vAlign w:val="bottom"/>
            <w:hideMark/>
          </w:tcPr>
          <w:p w:rsidR="0014536C" w:rsidRPr="0014536C" w:rsidRDefault="0014536C" w:rsidP="0014536C">
            <w:pPr>
              <w:spacing w:after="0" w:line="240" w:lineRule="auto"/>
              <w:jc w:val="center"/>
              <w:rPr>
                <w:rFonts w:eastAsia="Times New Roman" w:cs="Arial"/>
                <w:color w:val="000000"/>
                <w:lang w:eastAsia="en-GB"/>
              </w:rPr>
            </w:pPr>
            <w:r w:rsidRPr="0014536C">
              <w:rPr>
                <w:rFonts w:eastAsia="Times New Roman" w:cs="Arial"/>
                <w:color w:val="000000"/>
                <w:lang w:eastAsia="en-GB"/>
              </w:rPr>
              <w:t>60 or over</w:t>
            </w:r>
          </w:p>
        </w:tc>
      </w:tr>
    </w:tbl>
    <w:p w:rsidR="00E1746A" w:rsidRDefault="00E1746A" w:rsidP="0014536C">
      <w:pPr>
        <w:spacing w:after="0" w:line="240" w:lineRule="auto"/>
        <w:rPr>
          <w:rFonts w:eastAsia="Times New Roman" w:cs="Arial"/>
        </w:rPr>
      </w:pPr>
    </w:p>
    <w:p w:rsidR="00E1746A" w:rsidRPr="0014536C" w:rsidRDefault="00E1746A" w:rsidP="0014536C">
      <w:pPr>
        <w:spacing w:after="0" w:line="240" w:lineRule="auto"/>
        <w:rPr>
          <w:rFonts w:eastAsia="Times New Roman" w:cs="Arial"/>
        </w:rPr>
      </w:pPr>
    </w:p>
    <w:p w:rsidR="0014536C" w:rsidRPr="0014536C" w:rsidRDefault="0014536C" w:rsidP="0014536C">
      <w:pPr>
        <w:spacing w:after="0" w:line="240" w:lineRule="auto"/>
        <w:rPr>
          <w:rFonts w:eastAsia="Times New Roman" w:cs="Arial"/>
          <w:b/>
        </w:rPr>
      </w:pPr>
      <w:r w:rsidRPr="0014536C">
        <w:rPr>
          <w:rFonts w:eastAsia="Times New Roman" w:cs="Arial"/>
          <w:b/>
        </w:rPr>
        <w:t>Note 6 - Perpetrator demonstrates their income to be less than £440/week</w:t>
      </w:r>
    </w:p>
    <w:p w:rsidR="0014536C" w:rsidRPr="0014536C" w:rsidRDefault="0014536C" w:rsidP="0014536C">
      <w:pPr>
        <w:spacing w:after="0" w:line="240" w:lineRule="auto"/>
        <w:rPr>
          <w:rFonts w:eastAsia="Times New Roman" w:cs="Arial"/>
          <w:b/>
        </w:rPr>
      </w:pPr>
    </w:p>
    <w:p w:rsidR="0014536C" w:rsidRPr="0014536C" w:rsidRDefault="0014536C" w:rsidP="0014536C">
      <w:pPr>
        <w:numPr>
          <w:ilvl w:val="0"/>
          <w:numId w:val="21"/>
        </w:numPr>
        <w:spacing w:after="120" w:line="240" w:lineRule="auto"/>
        <w:jc w:val="both"/>
        <w:rPr>
          <w:rFonts w:eastAsia="Times New Roman" w:cs="Arial"/>
        </w:rPr>
      </w:pPr>
      <w:r w:rsidRPr="0014536C">
        <w:rPr>
          <w:rFonts w:eastAsia="Times New Roman" w:cs="Arial"/>
        </w:rPr>
        <w:t xml:space="preserve">This premium will be applied after all other relevant premiums have been included and if applicable will reduce the overall civil penalty by 50%.                    </w:t>
      </w:r>
    </w:p>
    <w:p w:rsidR="0014536C" w:rsidRPr="0014536C" w:rsidRDefault="0014536C" w:rsidP="0014536C">
      <w:pPr>
        <w:numPr>
          <w:ilvl w:val="0"/>
          <w:numId w:val="21"/>
        </w:numPr>
        <w:spacing w:after="120" w:line="240" w:lineRule="auto"/>
        <w:jc w:val="both"/>
        <w:rPr>
          <w:rFonts w:eastAsia="Times New Roman" w:cs="Arial"/>
        </w:rPr>
      </w:pPr>
      <w:r w:rsidRPr="0014536C">
        <w:rPr>
          <w:rFonts w:eastAsia="Times New Roman" w:cs="Arial"/>
        </w:rPr>
        <w:t>To be applicable, the person served by the Notice of Intent must provide sufficient documented evidence of income.</w:t>
      </w:r>
    </w:p>
    <w:p w:rsidR="0014536C" w:rsidRPr="0014536C" w:rsidRDefault="0014536C" w:rsidP="0014536C">
      <w:pPr>
        <w:numPr>
          <w:ilvl w:val="0"/>
          <w:numId w:val="21"/>
        </w:numPr>
        <w:spacing w:after="120" w:line="240" w:lineRule="auto"/>
        <w:jc w:val="both"/>
        <w:rPr>
          <w:rFonts w:eastAsia="Times New Roman" w:cs="Arial"/>
        </w:rPr>
      </w:pPr>
      <w:r w:rsidRPr="0014536C">
        <w:rPr>
          <w:rFonts w:eastAsia="Times New Roman" w:cs="Arial"/>
        </w:rPr>
        <w:t xml:space="preserve">The figure of £440 per week is to be calculated after omission of income tax and national insurance. </w:t>
      </w:r>
    </w:p>
    <w:p w:rsidR="0014536C" w:rsidRPr="0014536C" w:rsidRDefault="0014536C" w:rsidP="0014536C">
      <w:pPr>
        <w:numPr>
          <w:ilvl w:val="0"/>
          <w:numId w:val="21"/>
        </w:numPr>
        <w:spacing w:after="120" w:line="240" w:lineRule="auto"/>
        <w:jc w:val="both"/>
        <w:rPr>
          <w:rFonts w:eastAsia="Times New Roman" w:cs="Arial"/>
        </w:rPr>
      </w:pPr>
      <w:r w:rsidRPr="0014536C">
        <w:rPr>
          <w:rFonts w:eastAsia="Times New Roman" w:cs="Arial"/>
        </w:rPr>
        <w:t xml:space="preserve">The Council reserves the right to request further information to support any financial claim, and where this is incomplete or not sufficiently evidenced may determine that the premium should not be applied. </w:t>
      </w:r>
    </w:p>
    <w:p w:rsidR="0014536C" w:rsidRPr="0014536C" w:rsidRDefault="0014536C" w:rsidP="0014536C">
      <w:pPr>
        <w:spacing w:after="0" w:line="240" w:lineRule="auto"/>
        <w:rPr>
          <w:rFonts w:eastAsia="Times New Roman" w:cs="Arial"/>
        </w:rPr>
      </w:pPr>
    </w:p>
    <w:p w:rsidR="0014536C" w:rsidRPr="0014536C" w:rsidRDefault="0014536C" w:rsidP="0014536C">
      <w:pPr>
        <w:spacing w:after="0" w:line="240" w:lineRule="auto"/>
        <w:rPr>
          <w:rFonts w:eastAsia="Times New Roman" w:cs="Arial"/>
          <w:b/>
        </w:rPr>
      </w:pPr>
      <w:r w:rsidRPr="0014536C">
        <w:rPr>
          <w:rFonts w:eastAsia="Times New Roman" w:cs="Arial"/>
          <w:b/>
        </w:rPr>
        <w:t>Note 7 - Previous history of non-compliance with these provisions</w:t>
      </w:r>
    </w:p>
    <w:p w:rsidR="0014536C" w:rsidRPr="0014536C" w:rsidRDefault="0014536C" w:rsidP="0014536C">
      <w:pPr>
        <w:spacing w:after="0" w:line="240" w:lineRule="auto"/>
        <w:rPr>
          <w:rFonts w:eastAsia="Times New Roman" w:cs="Arial"/>
          <w:b/>
        </w:rPr>
      </w:pPr>
    </w:p>
    <w:p w:rsidR="0014536C" w:rsidRPr="0014536C" w:rsidRDefault="0014536C" w:rsidP="0014536C">
      <w:pPr>
        <w:numPr>
          <w:ilvl w:val="0"/>
          <w:numId w:val="22"/>
        </w:numPr>
        <w:spacing w:after="120" w:line="240" w:lineRule="auto"/>
        <w:jc w:val="both"/>
        <w:rPr>
          <w:rFonts w:eastAsia="Times New Roman" w:cs="Arial"/>
        </w:rPr>
      </w:pPr>
      <w:r w:rsidRPr="0014536C">
        <w:rPr>
          <w:rFonts w:eastAsia="Times New Roman" w:cs="Arial"/>
        </w:rPr>
        <w:lastRenderedPageBreak/>
        <w:t xml:space="preserve">This premium is applied where there has been more than one conviction or imposition of a financial penalty for the same type of offence in the previous four years. </w:t>
      </w:r>
    </w:p>
    <w:p w:rsidR="00E1746A" w:rsidRDefault="0014536C" w:rsidP="00E1746A">
      <w:pPr>
        <w:numPr>
          <w:ilvl w:val="0"/>
          <w:numId w:val="22"/>
        </w:numPr>
        <w:spacing w:after="120" w:line="240" w:lineRule="auto"/>
        <w:jc w:val="both"/>
        <w:rPr>
          <w:rFonts w:eastAsia="Times New Roman" w:cs="Arial"/>
        </w:rPr>
      </w:pPr>
      <w:r w:rsidRPr="0014536C">
        <w:rPr>
          <w:rFonts w:eastAsia="Times New Roman" w:cs="Arial"/>
        </w:rPr>
        <w:t>The Council will take into account any such convictions or financial penalties irrespective of the locali</w:t>
      </w:r>
      <w:r w:rsidR="00E1746A">
        <w:rPr>
          <w:rFonts w:eastAsia="Times New Roman" w:cs="Arial"/>
        </w:rPr>
        <w:t>ty to which the offence relates.</w:t>
      </w:r>
    </w:p>
    <w:p w:rsidR="00F244F4" w:rsidRDefault="00F244F4" w:rsidP="00F244F4">
      <w:pPr>
        <w:spacing w:after="120" w:line="240" w:lineRule="auto"/>
        <w:jc w:val="both"/>
        <w:rPr>
          <w:rFonts w:eastAsia="Times New Roman" w:cs="Arial"/>
        </w:rPr>
      </w:pPr>
    </w:p>
    <w:p w:rsidR="00F244F4" w:rsidRPr="00E1746A" w:rsidRDefault="00F244F4" w:rsidP="00F244F4">
      <w:pPr>
        <w:spacing w:after="120" w:line="240" w:lineRule="auto"/>
        <w:jc w:val="both"/>
        <w:rPr>
          <w:rFonts w:eastAsia="Times New Roman" w:cs="Arial"/>
        </w:rPr>
      </w:pPr>
    </w:p>
    <w:p w:rsidR="0014536C" w:rsidRPr="0014536C" w:rsidRDefault="0014536C" w:rsidP="0014536C">
      <w:pPr>
        <w:spacing w:after="0" w:line="240" w:lineRule="auto"/>
        <w:rPr>
          <w:rFonts w:eastAsia="Times New Roman" w:cs="Arial"/>
          <w:b/>
        </w:rPr>
      </w:pPr>
      <w:r w:rsidRPr="0014536C">
        <w:rPr>
          <w:rFonts w:eastAsia="Times New Roman" w:cs="Arial"/>
          <w:b/>
        </w:rPr>
        <w:t xml:space="preserve">Note 8 – Acts or omissions demonstrating high culpability    </w:t>
      </w:r>
    </w:p>
    <w:p w:rsidR="0014536C" w:rsidRPr="0014536C" w:rsidRDefault="0014536C" w:rsidP="0014536C">
      <w:pPr>
        <w:spacing w:after="0" w:line="240" w:lineRule="auto"/>
        <w:rPr>
          <w:rFonts w:eastAsia="Times New Roman" w:cs="Arial"/>
          <w:b/>
        </w:rPr>
      </w:pPr>
      <w:r w:rsidRPr="0014536C">
        <w:rPr>
          <w:rFonts w:eastAsia="Times New Roman" w:cs="Arial"/>
          <w:b/>
        </w:rPr>
        <w:t xml:space="preserve">                                     </w:t>
      </w:r>
    </w:p>
    <w:p w:rsidR="0014536C" w:rsidRPr="0014536C" w:rsidRDefault="0014536C" w:rsidP="0014536C">
      <w:pPr>
        <w:numPr>
          <w:ilvl w:val="0"/>
          <w:numId w:val="23"/>
        </w:numPr>
        <w:spacing w:after="0" w:line="240" w:lineRule="auto"/>
        <w:rPr>
          <w:rFonts w:eastAsia="Times New Roman" w:cs="Arial"/>
        </w:rPr>
      </w:pPr>
      <w:r w:rsidRPr="0014536C">
        <w:rPr>
          <w:rFonts w:eastAsia="Times New Roman" w:cs="Arial"/>
        </w:rPr>
        <w:t xml:space="preserve">This premium will be applied where, the person to which the civil penalty applies, acted in a reckless or deliberate manner in not complying with the statutory notice or previous relevant formal advice. </w:t>
      </w:r>
    </w:p>
    <w:p w:rsidR="0014536C" w:rsidRPr="0014536C" w:rsidRDefault="0014536C" w:rsidP="0014536C">
      <w:pPr>
        <w:spacing w:after="0" w:line="240" w:lineRule="auto"/>
        <w:rPr>
          <w:rFonts w:ascii="Arial" w:eastAsia="Times New Roman" w:hAnsi="Arial" w:cs="Arial"/>
          <w:b/>
        </w:rPr>
      </w:pPr>
    </w:p>
    <w:p w:rsidR="0014536C" w:rsidRPr="00A66901" w:rsidRDefault="0014536C" w:rsidP="00A66901">
      <w:pPr>
        <w:spacing w:after="0" w:line="240" w:lineRule="auto"/>
        <w:rPr>
          <w:rFonts w:eastAsia="Times New Roman" w:cs="Arial"/>
        </w:rPr>
      </w:pPr>
    </w:p>
    <w:p w:rsidR="00A66901" w:rsidRPr="00A66901" w:rsidRDefault="00A66901" w:rsidP="00A66901">
      <w:pPr>
        <w:spacing w:after="0" w:line="240" w:lineRule="auto"/>
        <w:rPr>
          <w:rFonts w:eastAsia="Times New Roman" w:cs="Arial"/>
        </w:rPr>
      </w:pPr>
    </w:p>
    <w:p w:rsidR="00A66901" w:rsidRPr="00A66901" w:rsidRDefault="00A66901" w:rsidP="008B3D73">
      <w:pPr>
        <w:rPr>
          <w:b/>
          <w:sz w:val="28"/>
          <w:szCs w:val="28"/>
        </w:rPr>
      </w:pPr>
    </w:p>
    <w:p w:rsidR="00A66901" w:rsidRPr="00A66901" w:rsidRDefault="00A66901" w:rsidP="008B3D73">
      <w:pPr>
        <w:rPr>
          <w:b/>
          <w:sz w:val="28"/>
          <w:szCs w:val="28"/>
        </w:rPr>
      </w:pPr>
    </w:p>
    <w:p w:rsidR="008B3D73" w:rsidRPr="00A66901" w:rsidRDefault="008B3D73" w:rsidP="008B3D73">
      <w:pPr>
        <w:rPr>
          <w:sz w:val="28"/>
          <w:szCs w:val="28"/>
        </w:rPr>
      </w:pPr>
    </w:p>
    <w:p w:rsidR="008B3D73" w:rsidRPr="00A66901" w:rsidRDefault="008B3D73" w:rsidP="008B3D73">
      <w:pPr>
        <w:rPr>
          <w:sz w:val="28"/>
          <w:szCs w:val="28"/>
        </w:rPr>
      </w:pPr>
    </w:p>
    <w:p w:rsidR="008B3D73" w:rsidRPr="00A66901" w:rsidRDefault="008B3D73" w:rsidP="008B3D73">
      <w:pPr>
        <w:rPr>
          <w:sz w:val="28"/>
          <w:szCs w:val="28"/>
        </w:rPr>
      </w:pPr>
    </w:p>
    <w:p w:rsidR="008B3D73" w:rsidRPr="00A66901" w:rsidRDefault="008B3D73" w:rsidP="008B3D73">
      <w:pPr>
        <w:rPr>
          <w:sz w:val="28"/>
          <w:szCs w:val="28"/>
        </w:rPr>
      </w:pPr>
    </w:p>
    <w:p w:rsidR="008B3D73" w:rsidRPr="00A66901" w:rsidRDefault="008B3D73" w:rsidP="008B3D73">
      <w:pPr>
        <w:rPr>
          <w:sz w:val="28"/>
          <w:szCs w:val="28"/>
        </w:rPr>
      </w:pPr>
    </w:p>
    <w:p w:rsidR="008B3D73" w:rsidRPr="00A66901" w:rsidRDefault="008B3D73" w:rsidP="008B3D73">
      <w:pPr>
        <w:rPr>
          <w:sz w:val="28"/>
          <w:szCs w:val="28"/>
        </w:rPr>
      </w:pPr>
    </w:p>
    <w:p w:rsidR="008B3D73" w:rsidRDefault="008B3D73" w:rsidP="008B3D73">
      <w:pPr>
        <w:rPr>
          <w:sz w:val="28"/>
          <w:szCs w:val="28"/>
        </w:rPr>
      </w:pPr>
    </w:p>
    <w:p w:rsidR="008B3D73" w:rsidRDefault="008B3D73" w:rsidP="008B3D73">
      <w:pPr>
        <w:rPr>
          <w:sz w:val="28"/>
          <w:szCs w:val="28"/>
        </w:rPr>
      </w:pPr>
    </w:p>
    <w:p w:rsidR="008B3D73" w:rsidRDefault="008B3D73" w:rsidP="008B3D73">
      <w:pPr>
        <w:rPr>
          <w:sz w:val="28"/>
          <w:szCs w:val="28"/>
        </w:rPr>
      </w:pPr>
    </w:p>
    <w:p w:rsidR="008B3D73" w:rsidRDefault="008B3D73" w:rsidP="008B3D73">
      <w:pPr>
        <w:rPr>
          <w:sz w:val="28"/>
          <w:szCs w:val="28"/>
        </w:rPr>
      </w:pPr>
    </w:p>
    <w:p w:rsidR="008B3D73" w:rsidRDefault="008B3D73" w:rsidP="008B3D73">
      <w:pPr>
        <w:rPr>
          <w:sz w:val="28"/>
          <w:szCs w:val="28"/>
        </w:rPr>
      </w:pPr>
    </w:p>
    <w:p w:rsidR="008B3D73" w:rsidRDefault="008B3D73" w:rsidP="008B3D73">
      <w:pPr>
        <w:rPr>
          <w:sz w:val="28"/>
          <w:szCs w:val="28"/>
        </w:rPr>
      </w:pPr>
    </w:p>
    <w:p w:rsidR="008B3D73" w:rsidRDefault="008B3D73" w:rsidP="008B3D73">
      <w:pPr>
        <w:rPr>
          <w:sz w:val="28"/>
          <w:szCs w:val="28"/>
        </w:rPr>
      </w:pPr>
    </w:p>
    <w:p w:rsidR="008B3D73" w:rsidRDefault="008B3D73" w:rsidP="008B3D73">
      <w:pPr>
        <w:rPr>
          <w:sz w:val="28"/>
          <w:szCs w:val="28"/>
        </w:rPr>
      </w:pPr>
    </w:p>
    <w:p w:rsidR="008B3D73" w:rsidRDefault="008B3D73" w:rsidP="008B3D73">
      <w:pPr>
        <w:rPr>
          <w:sz w:val="28"/>
          <w:szCs w:val="28"/>
        </w:rPr>
      </w:pPr>
    </w:p>
    <w:p w:rsidR="008B3D73" w:rsidRPr="008B3D73" w:rsidRDefault="008B3D73" w:rsidP="008B3D73">
      <w:pPr>
        <w:rPr>
          <w:sz w:val="28"/>
          <w:szCs w:val="28"/>
        </w:rPr>
      </w:pPr>
    </w:p>
    <w:sectPr w:rsidR="008B3D73" w:rsidRPr="008B3D7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D73" w:rsidRDefault="008B3D73" w:rsidP="008B3D73">
      <w:pPr>
        <w:spacing w:after="0" w:line="240" w:lineRule="auto"/>
      </w:pPr>
      <w:r>
        <w:separator/>
      </w:r>
    </w:p>
  </w:endnote>
  <w:endnote w:type="continuationSeparator" w:id="0">
    <w:p w:rsidR="008B3D73" w:rsidRDefault="008B3D73" w:rsidP="008B3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7310455"/>
      <w:docPartObj>
        <w:docPartGallery w:val="Page Numbers (Bottom of Page)"/>
        <w:docPartUnique/>
      </w:docPartObj>
    </w:sdtPr>
    <w:sdtEndPr>
      <w:rPr>
        <w:noProof/>
      </w:rPr>
    </w:sdtEndPr>
    <w:sdtContent>
      <w:p w:rsidR="008B3D73" w:rsidRDefault="008B3D73">
        <w:pPr>
          <w:pStyle w:val="Footer"/>
        </w:pPr>
        <w:r>
          <w:t xml:space="preserve">Page | </w:t>
        </w:r>
        <w:r>
          <w:fldChar w:fldCharType="begin"/>
        </w:r>
        <w:r>
          <w:instrText xml:space="preserve"> PAGE   \* MERGEFORMAT </w:instrText>
        </w:r>
        <w:r>
          <w:fldChar w:fldCharType="separate"/>
        </w:r>
        <w:r w:rsidR="00FE4BFD">
          <w:rPr>
            <w:noProof/>
          </w:rPr>
          <w:t>4</w:t>
        </w:r>
        <w:r>
          <w:rPr>
            <w:noProof/>
          </w:rPr>
          <w:fldChar w:fldCharType="end"/>
        </w:r>
      </w:p>
    </w:sdtContent>
  </w:sdt>
  <w:p w:rsidR="008B3D73" w:rsidRDefault="008B3D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D73" w:rsidRDefault="008B3D73" w:rsidP="008B3D73">
      <w:pPr>
        <w:spacing w:after="0" w:line="240" w:lineRule="auto"/>
      </w:pPr>
      <w:r>
        <w:separator/>
      </w:r>
    </w:p>
  </w:footnote>
  <w:footnote w:type="continuationSeparator" w:id="0">
    <w:p w:rsidR="008B3D73" w:rsidRDefault="008B3D73" w:rsidP="008B3D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905FB"/>
    <w:multiLevelType w:val="hybridMultilevel"/>
    <w:tmpl w:val="AC34C6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F9A2AB6"/>
    <w:multiLevelType w:val="hybridMultilevel"/>
    <w:tmpl w:val="5B5C5C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5A108ED"/>
    <w:multiLevelType w:val="hybridMultilevel"/>
    <w:tmpl w:val="396060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776485A"/>
    <w:multiLevelType w:val="multilevel"/>
    <w:tmpl w:val="C4B83A7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nsid w:val="17A12B3F"/>
    <w:multiLevelType w:val="hybridMultilevel"/>
    <w:tmpl w:val="74986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827ACF"/>
    <w:multiLevelType w:val="hybridMultilevel"/>
    <w:tmpl w:val="FBA8F3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38A2BAB"/>
    <w:multiLevelType w:val="hybridMultilevel"/>
    <w:tmpl w:val="5B649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89516A5"/>
    <w:multiLevelType w:val="hybridMultilevel"/>
    <w:tmpl w:val="5142D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8AB5E9F"/>
    <w:multiLevelType w:val="hybridMultilevel"/>
    <w:tmpl w:val="CF7EA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09B5858"/>
    <w:multiLevelType w:val="multilevel"/>
    <w:tmpl w:val="D3B45EEC"/>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32826363"/>
    <w:multiLevelType w:val="hybridMultilevel"/>
    <w:tmpl w:val="5AE43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4C53590"/>
    <w:multiLevelType w:val="hybridMultilevel"/>
    <w:tmpl w:val="374CE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D85456C"/>
    <w:multiLevelType w:val="hybridMultilevel"/>
    <w:tmpl w:val="FD2040B0"/>
    <w:lvl w:ilvl="0" w:tplc="0809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4AC52504"/>
    <w:multiLevelType w:val="hybridMultilevel"/>
    <w:tmpl w:val="7F205A7A"/>
    <w:lvl w:ilvl="0" w:tplc="08090013">
      <w:start w:val="1"/>
      <w:numFmt w:val="upperRoman"/>
      <w:lvlText w:val="%1."/>
      <w:lvlJc w:val="righ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4B571C56"/>
    <w:multiLevelType w:val="hybridMultilevel"/>
    <w:tmpl w:val="39CCC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2D32E18"/>
    <w:multiLevelType w:val="hybridMultilevel"/>
    <w:tmpl w:val="34F29172"/>
    <w:lvl w:ilvl="0" w:tplc="0809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541F0229"/>
    <w:multiLevelType w:val="multilevel"/>
    <w:tmpl w:val="356CECE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91831E7"/>
    <w:multiLevelType w:val="hybridMultilevel"/>
    <w:tmpl w:val="5072AF36"/>
    <w:lvl w:ilvl="0" w:tplc="0809001B">
      <w:start w:val="1"/>
      <w:numFmt w:val="lowerRoman"/>
      <w:lvlText w:val="%1."/>
      <w:lvlJc w:val="righ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5CF322FF"/>
    <w:multiLevelType w:val="hybridMultilevel"/>
    <w:tmpl w:val="A620C776"/>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60875665"/>
    <w:multiLevelType w:val="hybridMultilevel"/>
    <w:tmpl w:val="74AAFD66"/>
    <w:lvl w:ilvl="0" w:tplc="08090019">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64DA42CE"/>
    <w:multiLevelType w:val="multilevel"/>
    <w:tmpl w:val="2D0ED1FC"/>
    <w:lvl w:ilvl="0">
      <w:start w:val="1"/>
      <w:numFmt w:val="decimal"/>
      <w:lvlText w:val="%1"/>
      <w:lvlJc w:val="left"/>
      <w:pPr>
        <w:tabs>
          <w:tab w:val="num" w:pos="720"/>
        </w:tabs>
        <w:ind w:left="720" w:hanging="720"/>
      </w:pPr>
      <w:rPr>
        <w:rFonts w:ascii="Verdana" w:hAnsi="Verdana" w:hint="default"/>
        <w:b/>
        <w:i w:val="0"/>
        <w:color w:val="auto"/>
        <w:sz w:val="20"/>
      </w:rPr>
    </w:lvl>
    <w:lvl w:ilvl="1">
      <w:start w:val="1"/>
      <w:numFmt w:val="decimal"/>
      <w:lvlText w:val="%1.%2"/>
      <w:lvlJc w:val="left"/>
      <w:pPr>
        <w:tabs>
          <w:tab w:val="num" w:pos="720"/>
        </w:tabs>
        <w:ind w:left="720" w:hanging="720"/>
      </w:pPr>
      <w:rPr>
        <w:rFonts w:ascii="Verdana" w:hAnsi="Verdana" w:hint="default"/>
        <w:b w:val="0"/>
        <w:i w:val="0"/>
        <w:color w:val="auto"/>
        <w:sz w:val="20"/>
      </w:rPr>
    </w:lvl>
    <w:lvl w:ilvl="2">
      <w:start w:val="1"/>
      <w:numFmt w:val="lowerLetter"/>
      <w:lvlText w:val="%3)"/>
      <w:lvlJc w:val="left"/>
      <w:pPr>
        <w:tabs>
          <w:tab w:val="num" w:pos="1146"/>
        </w:tabs>
        <w:ind w:left="1146" w:hanging="720"/>
      </w:pPr>
      <w:rPr>
        <w:b w:val="0"/>
        <w:i w:val="0"/>
        <w:color w:val="auto"/>
        <w:sz w:val="20"/>
      </w:r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21">
    <w:nsid w:val="66C018DF"/>
    <w:multiLevelType w:val="multilevel"/>
    <w:tmpl w:val="9954D3A2"/>
    <w:lvl w:ilvl="0">
      <w:start w:val="1"/>
      <w:numFmt w:val="decimal"/>
      <w:lvlText w:val="%1"/>
      <w:lvlJc w:val="left"/>
      <w:pPr>
        <w:tabs>
          <w:tab w:val="num" w:pos="720"/>
        </w:tabs>
        <w:ind w:left="720" w:hanging="720"/>
      </w:pPr>
      <w:rPr>
        <w:rFonts w:ascii="Verdana" w:hAnsi="Verdana" w:hint="default"/>
        <w:b/>
        <w:i w:val="0"/>
        <w:color w:val="auto"/>
        <w:sz w:val="20"/>
      </w:rPr>
    </w:lvl>
    <w:lvl w:ilvl="1">
      <w:start w:val="1"/>
      <w:numFmt w:val="decimal"/>
      <w:lvlText w:val="%1.%2"/>
      <w:lvlJc w:val="left"/>
      <w:pPr>
        <w:tabs>
          <w:tab w:val="num" w:pos="720"/>
        </w:tabs>
        <w:ind w:left="720" w:hanging="720"/>
      </w:pPr>
      <w:rPr>
        <w:rFonts w:ascii="Verdana" w:hAnsi="Verdana" w:hint="default"/>
        <w:b w:val="0"/>
        <w:i w:val="0"/>
        <w:color w:val="auto"/>
        <w:sz w:val="20"/>
      </w:rPr>
    </w:lvl>
    <w:lvl w:ilvl="2">
      <w:start w:val="1"/>
      <w:numFmt w:val="lowerRoman"/>
      <w:lvlText w:val="%3."/>
      <w:lvlJc w:val="right"/>
      <w:pPr>
        <w:tabs>
          <w:tab w:val="num" w:pos="1146"/>
        </w:tabs>
        <w:ind w:left="1146" w:hanging="720"/>
      </w:pPr>
      <w:rPr>
        <w:b w:val="0"/>
        <w:i w:val="0"/>
        <w:color w:val="auto"/>
        <w:sz w:val="20"/>
      </w:r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22">
    <w:nsid w:val="72B609C5"/>
    <w:multiLevelType w:val="hybridMultilevel"/>
    <w:tmpl w:val="D2E2C5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73D21BD7"/>
    <w:multiLevelType w:val="hybridMultilevel"/>
    <w:tmpl w:val="83A26FF2"/>
    <w:lvl w:ilvl="0" w:tplc="0809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22"/>
  </w:num>
  <w:num w:numId="6">
    <w:abstractNumId w:val="1"/>
  </w:num>
  <w:num w:numId="7">
    <w:abstractNumId w:val="0"/>
  </w:num>
  <w:num w:numId="8">
    <w:abstractNumId w:val="19"/>
  </w:num>
  <w:num w:numId="9">
    <w:abstractNumId w:val="21"/>
  </w:num>
  <w:num w:numId="10">
    <w:abstractNumId w:val="13"/>
  </w:num>
  <w:num w:numId="11">
    <w:abstractNumId w:val="18"/>
  </w:num>
  <w:num w:numId="12">
    <w:abstractNumId w:val="15"/>
  </w:num>
  <w:num w:numId="13">
    <w:abstractNumId w:val="17"/>
  </w:num>
  <w:num w:numId="14">
    <w:abstractNumId w:val="23"/>
  </w:num>
  <w:num w:numId="15">
    <w:abstractNumId w:val="12"/>
  </w:num>
  <w:num w:numId="16">
    <w:abstractNumId w:val="9"/>
  </w:num>
  <w:num w:numId="17">
    <w:abstractNumId w:val="11"/>
  </w:num>
  <w:num w:numId="18">
    <w:abstractNumId w:val="8"/>
  </w:num>
  <w:num w:numId="19">
    <w:abstractNumId w:val="6"/>
  </w:num>
  <w:num w:numId="20">
    <w:abstractNumId w:val="14"/>
  </w:num>
  <w:num w:numId="21">
    <w:abstractNumId w:val="7"/>
  </w:num>
  <w:num w:numId="22">
    <w:abstractNumId w:val="10"/>
  </w:num>
  <w:num w:numId="23">
    <w:abstractNumId w:val="4"/>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D73"/>
    <w:rsid w:val="000E7D8B"/>
    <w:rsid w:val="000F5FE0"/>
    <w:rsid w:val="000F7328"/>
    <w:rsid w:val="0014536C"/>
    <w:rsid w:val="0016597A"/>
    <w:rsid w:val="0019383E"/>
    <w:rsid w:val="002B1264"/>
    <w:rsid w:val="003821DD"/>
    <w:rsid w:val="0040753F"/>
    <w:rsid w:val="004F3E26"/>
    <w:rsid w:val="00600EA4"/>
    <w:rsid w:val="00630C83"/>
    <w:rsid w:val="00671A3A"/>
    <w:rsid w:val="00711967"/>
    <w:rsid w:val="007C4012"/>
    <w:rsid w:val="008A3B09"/>
    <w:rsid w:val="008B3D73"/>
    <w:rsid w:val="009D0EDC"/>
    <w:rsid w:val="00A66901"/>
    <w:rsid w:val="00C07FDD"/>
    <w:rsid w:val="00C77DC5"/>
    <w:rsid w:val="00CD3247"/>
    <w:rsid w:val="00D820E7"/>
    <w:rsid w:val="00E1215E"/>
    <w:rsid w:val="00E1746A"/>
    <w:rsid w:val="00ED76D1"/>
    <w:rsid w:val="00F244F4"/>
    <w:rsid w:val="00F45404"/>
    <w:rsid w:val="00FE4B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3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D73"/>
    <w:rPr>
      <w:rFonts w:ascii="Tahoma" w:hAnsi="Tahoma" w:cs="Tahoma"/>
      <w:sz w:val="16"/>
      <w:szCs w:val="16"/>
    </w:rPr>
  </w:style>
  <w:style w:type="paragraph" w:styleId="Header">
    <w:name w:val="header"/>
    <w:basedOn w:val="Normal"/>
    <w:link w:val="HeaderChar"/>
    <w:uiPriority w:val="99"/>
    <w:unhideWhenUsed/>
    <w:rsid w:val="008B3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3D73"/>
  </w:style>
  <w:style w:type="paragraph" w:styleId="Footer">
    <w:name w:val="footer"/>
    <w:basedOn w:val="Normal"/>
    <w:link w:val="FooterChar"/>
    <w:uiPriority w:val="99"/>
    <w:unhideWhenUsed/>
    <w:rsid w:val="008B3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3D73"/>
  </w:style>
  <w:style w:type="paragraph" w:styleId="ListParagraph">
    <w:name w:val="List Paragraph"/>
    <w:basedOn w:val="Normal"/>
    <w:uiPriority w:val="34"/>
    <w:qFormat/>
    <w:rsid w:val="008B3D73"/>
    <w:pPr>
      <w:ind w:left="720"/>
      <w:contextualSpacing/>
    </w:pPr>
  </w:style>
  <w:style w:type="paragraph" w:styleId="NoSpacing">
    <w:name w:val="No Spacing"/>
    <w:uiPriority w:val="1"/>
    <w:qFormat/>
    <w:rsid w:val="002B126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3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D73"/>
    <w:rPr>
      <w:rFonts w:ascii="Tahoma" w:hAnsi="Tahoma" w:cs="Tahoma"/>
      <w:sz w:val="16"/>
      <w:szCs w:val="16"/>
    </w:rPr>
  </w:style>
  <w:style w:type="paragraph" w:styleId="Header">
    <w:name w:val="header"/>
    <w:basedOn w:val="Normal"/>
    <w:link w:val="HeaderChar"/>
    <w:uiPriority w:val="99"/>
    <w:unhideWhenUsed/>
    <w:rsid w:val="008B3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3D73"/>
  </w:style>
  <w:style w:type="paragraph" w:styleId="Footer">
    <w:name w:val="footer"/>
    <w:basedOn w:val="Normal"/>
    <w:link w:val="FooterChar"/>
    <w:uiPriority w:val="99"/>
    <w:unhideWhenUsed/>
    <w:rsid w:val="008B3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3D73"/>
  </w:style>
  <w:style w:type="paragraph" w:styleId="ListParagraph">
    <w:name w:val="List Paragraph"/>
    <w:basedOn w:val="Normal"/>
    <w:uiPriority w:val="34"/>
    <w:qFormat/>
    <w:rsid w:val="008B3D73"/>
    <w:pPr>
      <w:ind w:left="720"/>
      <w:contextualSpacing/>
    </w:pPr>
  </w:style>
  <w:style w:type="paragraph" w:styleId="NoSpacing">
    <w:name w:val="No Spacing"/>
    <w:uiPriority w:val="1"/>
    <w:qFormat/>
    <w:rsid w:val="002B12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2117</Words>
  <Characters>12070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Warwick District Council</Company>
  <LinksUpToDate>false</LinksUpToDate>
  <CharactersWithSpaces>14159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Frazer</dc:creator>
  <cp:lastModifiedBy>Rebecca Frazer</cp:lastModifiedBy>
  <cp:revision>7</cp:revision>
  <dcterms:created xsi:type="dcterms:W3CDTF">2018-03-22T14:59:00Z</dcterms:created>
  <dcterms:modified xsi:type="dcterms:W3CDTF">2018-03-23T14:48:00Z</dcterms:modified>
</cp:coreProperties>
</file>