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2A" w:rsidRPr="009A06BA" w:rsidRDefault="00FE38C2">
      <w:pPr>
        <w:rPr>
          <w:b/>
          <w:sz w:val="28"/>
          <w:szCs w:val="28"/>
        </w:rPr>
      </w:pPr>
      <w:r w:rsidRPr="009A06BA">
        <w:rPr>
          <w:b/>
          <w:sz w:val="28"/>
          <w:szCs w:val="28"/>
        </w:rPr>
        <w:t>Evidence paper – Parking Standards SPD</w:t>
      </w:r>
    </w:p>
    <w:p w:rsidR="004623F6" w:rsidRDefault="004623F6"/>
    <w:p w:rsidR="009A06BA" w:rsidRPr="004623F6" w:rsidRDefault="004623F6">
      <w:pPr>
        <w:rPr>
          <w:b/>
        </w:rPr>
      </w:pPr>
      <w:r>
        <w:rPr>
          <w:b/>
        </w:rPr>
        <w:t xml:space="preserve">1.0 </w:t>
      </w:r>
      <w:r w:rsidRPr="004623F6">
        <w:rPr>
          <w:b/>
        </w:rPr>
        <w:t>Introduction</w:t>
      </w:r>
    </w:p>
    <w:p w:rsidR="00FE38C2" w:rsidRDefault="00BA1FCD" w:rsidP="00BA1FCD">
      <w:pPr>
        <w:ind w:left="340" w:hanging="340"/>
      </w:pPr>
      <w:r>
        <w:t xml:space="preserve">1.1 </w:t>
      </w:r>
      <w:r w:rsidR="00B34391">
        <w:t xml:space="preserve">The </w:t>
      </w:r>
      <w:r w:rsidR="00B34391" w:rsidRPr="004623F6">
        <w:t>Parking</w:t>
      </w:r>
      <w:r w:rsidR="00B34391">
        <w:t xml:space="preserve"> S</w:t>
      </w:r>
      <w:r w:rsidR="00982A69">
        <w:t xml:space="preserve">upplementary </w:t>
      </w:r>
      <w:r w:rsidR="00B34391">
        <w:t>P</w:t>
      </w:r>
      <w:r w:rsidR="00982A69">
        <w:t xml:space="preserve">lanning </w:t>
      </w:r>
      <w:r w:rsidR="00B34391">
        <w:t>D</w:t>
      </w:r>
      <w:r w:rsidR="00982A69">
        <w:t>ocument (SPD)</w:t>
      </w:r>
      <w:r w:rsidR="00B34391">
        <w:t xml:space="preserve"> sets out the standards for parking for developments of different use classes across Warwick District.  This document accompanies the SPD, and sets out the evidence which informed the development of those standards.</w:t>
      </w:r>
    </w:p>
    <w:p w:rsidR="00BA1FCD" w:rsidRPr="00036841" w:rsidRDefault="00BA1FCD" w:rsidP="00BA1FCD">
      <w:pPr>
        <w:ind w:left="340" w:right="-397" w:hanging="340"/>
      </w:pPr>
      <w:r>
        <w:t xml:space="preserve">1.2 </w:t>
      </w:r>
      <w:r w:rsidR="00E31561" w:rsidRPr="00036841">
        <w:t>N</w:t>
      </w:r>
      <w:r w:rsidR="00036841" w:rsidRPr="00036841">
        <w:t xml:space="preserve">ational </w:t>
      </w:r>
      <w:r w:rsidR="00E31561" w:rsidRPr="00036841">
        <w:t>P</w:t>
      </w:r>
      <w:r w:rsidR="00036841" w:rsidRPr="00036841">
        <w:t xml:space="preserve">lanning </w:t>
      </w:r>
      <w:r w:rsidR="00E31561" w:rsidRPr="00036841">
        <w:t>P</w:t>
      </w:r>
      <w:r w:rsidR="00036841" w:rsidRPr="00036841">
        <w:t xml:space="preserve">olicy </w:t>
      </w:r>
      <w:r w:rsidR="00E31561" w:rsidRPr="00036841">
        <w:t>F</w:t>
      </w:r>
      <w:r w:rsidR="00036841" w:rsidRPr="00036841">
        <w:t xml:space="preserve">ramework (NPPF) </w:t>
      </w:r>
      <w:r w:rsidR="00E31561" w:rsidRPr="00036841">
        <w:t>paragraph 39 requires L</w:t>
      </w:r>
      <w:r w:rsidR="00036841" w:rsidRPr="00036841">
        <w:t xml:space="preserve">ocal </w:t>
      </w:r>
      <w:r w:rsidR="00E31561" w:rsidRPr="00036841">
        <w:t>P</w:t>
      </w:r>
      <w:r w:rsidR="00036841" w:rsidRPr="00036841">
        <w:t xml:space="preserve">lanning </w:t>
      </w:r>
      <w:r w:rsidR="00E31561" w:rsidRPr="00036841">
        <w:t>A</w:t>
      </w:r>
      <w:r w:rsidR="00036841" w:rsidRPr="00036841">
        <w:t>uthoritie</w:t>
      </w:r>
      <w:r w:rsidR="00E31561" w:rsidRPr="00036841">
        <w:t>s</w:t>
      </w:r>
      <w:r w:rsidR="00036841">
        <w:t xml:space="preserve"> (LPAs)</w:t>
      </w:r>
      <w:r w:rsidR="00E31561" w:rsidRPr="00036841">
        <w:t xml:space="preserve"> to take the following into account when setting local parking standards:</w:t>
      </w:r>
    </w:p>
    <w:p w:rsidR="00E31561" w:rsidRPr="009A06BA" w:rsidRDefault="00E31561" w:rsidP="00BA1FCD">
      <w:pPr>
        <w:pStyle w:val="ListParagraph"/>
        <w:numPr>
          <w:ilvl w:val="0"/>
          <w:numId w:val="2"/>
        </w:numPr>
        <w:ind w:left="1514" w:hanging="720"/>
      </w:pPr>
      <w:r w:rsidRPr="009A06BA">
        <w:t>The accessibility of the development</w:t>
      </w:r>
    </w:p>
    <w:p w:rsidR="00E31561" w:rsidRPr="009A06BA" w:rsidRDefault="00E31561" w:rsidP="00BA1FCD">
      <w:pPr>
        <w:pStyle w:val="ListParagraph"/>
        <w:numPr>
          <w:ilvl w:val="0"/>
          <w:numId w:val="2"/>
        </w:numPr>
        <w:ind w:left="1514" w:hanging="720"/>
      </w:pPr>
      <w:r w:rsidRPr="009A06BA">
        <w:t>The type, mix and use of development</w:t>
      </w:r>
    </w:p>
    <w:p w:rsidR="00E31561" w:rsidRPr="009A06BA" w:rsidRDefault="00E31561" w:rsidP="00BA1FCD">
      <w:pPr>
        <w:pStyle w:val="ListParagraph"/>
        <w:numPr>
          <w:ilvl w:val="0"/>
          <w:numId w:val="2"/>
        </w:numPr>
        <w:ind w:left="1514" w:hanging="720"/>
      </w:pPr>
      <w:r w:rsidRPr="009A06BA">
        <w:t>The availability of and opportunities for public transport</w:t>
      </w:r>
    </w:p>
    <w:p w:rsidR="00E31561" w:rsidRPr="009A06BA" w:rsidRDefault="00E31561" w:rsidP="00BA1FCD">
      <w:pPr>
        <w:pStyle w:val="ListParagraph"/>
        <w:numPr>
          <w:ilvl w:val="0"/>
          <w:numId w:val="2"/>
        </w:numPr>
        <w:ind w:left="1514" w:hanging="720"/>
      </w:pPr>
      <w:r w:rsidRPr="009A06BA">
        <w:t>Local car ownership levels</w:t>
      </w:r>
    </w:p>
    <w:p w:rsidR="00E31561" w:rsidRPr="009A06BA" w:rsidRDefault="00E31561" w:rsidP="00BA1FCD">
      <w:pPr>
        <w:pStyle w:val="ListParagraph"/>
        <w:numPr>
          <w:ilvl w:val="0"/>
          <w:numId w:val="2"/>
        </w:numPr>
        <w:ind w:left="1514" w:hanging="720"/>
      </w:pPr>
      <w:r w:rsidRPr="009A06BA">
        <w:t>An overall need to reduce the use of high emission vehicles</w:t>
      </w:r>
    </w:p>
    <w:p w:rsidR="00B34391" w:rsidRDefault="00B34391"/>
    <w:p w:rsidR="00380881" w:rsidRDefault="00380881">
      <w:pPr>
        <w:rPr>
          <w:b/>
        </w:rPr>
      </w:pPr>
    </w:p>
    <w:p w:rsidR="00380881" w:rsidRDefault="00380881">
      <w:pPr>
        <w:rPr>
          <w:b/>
        </w:rPr>
      </w:pPr>
    </w:p>
    <w:p w:rsidR="00380881" w:rsidRDefault="00380881">
      <w:pPr>
        <w:rPr>
          <w:b/>
        </w:rPr>
      </w:pPr>
    </w:p>
    <w:p w:rsidR="00380881" w:rsidRDefault="00380881" w:rsidP="00BA1FCD">
      <w:pPr>
        <w:ind w:right="-57"/>
        <w:rPr>
          <w:b/>
        </w:rPr>
      </w:pPr>
    </w:p>
    <w:p w:rsidR="00380881" w:rsidRDefault="00380881">
      <w:pPr>
        <w:rPr>
          <w:b/>
        </w:rPr>
      </w:pPr>
    </w:p>
    <w:p w:rsidR="00380881" w:rsidRDefault="00380881">
      <w:pPr>
        <w:rPr>
          <w:b/>
        </w:rPr>
      </w:pPr>
    </w:p>
    <w:p w:rsidR="00147BEE" w:rsidRDefault="00147BEE">
      <w:pPr>
        <w:rPr>
          <w:b/>
        </w:rPr>
      </w:pPr>
    </w:p>
    <w:p w:rsidR="00FE38C2" w:rsidRPr="00380881" w:rsidRDefault="004623F6">
      <w:pPr>
        <w:rPr>
          <w:b/>
          <w:sz w:val="28"/>
          <w:szCs w:val="28"/>
          <w:u w:val="single"/>
        </w:rPr>
      </w:pPr>
      <w:r>
        <w:rPr>
          <w:b/>
          <w:sz w:val="28"/>
          <w:szCs w:val="28"/>
          <w:u w:val="single"/>
        </w:rPr>
        <w:lastRenderedPageBreak/>
        <w:t xml:space="preserve">2.0 </w:t>
      </w:r>
      <w:r w:rsidR="00B34391" w:rsidRPr="00380881">
        <w:rPr>
          <w:b/>
          <w:sz w:val="28"/>
          <w:szCs w:val="28"/>
          <w:u w:val="single"/>
        </w:rPr>
        <w:t>Residential parking</w:t>
      </w:r>
    </w:p>
    <w:p w:rsidR="00FE38C2" w:rsidRDefault="00BA1FCD" w:rsidP="00147BEE">
      <w:pPr>
        <w:ind w:left="340" w:hanging="340"/>
      </w:pPr>
      <w:r>
        <w:t xml:space="preserve">2.1 </w:t>
      </w:r>
      <w:r w:rsidR="00FE38C2">
        <w:t xml:space="preserve">Table </w:t>
      </w:r>
      <w:r w:rsidR="00FE38C2" w:rsidRPr="00036841">
        <w:t>1</w:t>
      </w:r>
      <w:r w:rsidR="00FE38C2">
        <w:t xml:space="preserve"> of the </w:t>
      </w:r>
      <w:r w:rsidR="00FE38C2" w:rsidRPr="004623F6">
        <w:t>Parking</w:t>
      </w:r>
      <w:r w:rsidR="00FE38C2">
        <w:t xml:space="preserve"> SPD sets out numeric standards f</w:t>
      </w:r>
      <w:r w:rsidR="00B34391">
        <w:t xml:space="preserve">or the number of allocated (usually on plot) parking spaces for dwellings of different sizes, and also a proportion of unallocated (usually on street) to provide space for visitors to park, and also to accommodate occasional  individual households with a higher than average number of cars. </w:t>
      </w:r>
      <w:r w:rsidR="00FE38C2">
        <w:t xml:space="preserve">  These stand</w:t>
      </w:r>
      <w:r w:rsidR="00B34391">
        <w:t>ards were designed based on the following evidence sources:</w:t>
      </w:r>
    </w:p>
    <w:p w:rsidR="00B34391" w:rsidRDefault="00B34391" w:rsidP="00BA1FCD">
      <w:pPr>
        <w:pStyle w:val="ListParagraph"/>
        <w:numPr>
          <w:ilvl w:val="0"/>
          <w:numId w:val="1"/>
        </w:numPr>
        <w:ind w:hanging="340"/>
      </w:pPr>
      <w:r>
        <w:t>Car ownership statistics across Warwick District</w:t>
      </w:r>
    </w:p>
    <w:p w:rsidR="00B34391" w:rsidRDefault="00B34391" w:rsidP="00BA1FCD">
      <w:pPr>
        <w:pStyle w:val="ListParagraph"/>
        <w:numPr>
          <w:ilvl w:val="0"/>
          <w:numId w:val="1"/>
        </w:numPr>
        <w:ind w:hanging="340"/>
      </w:pPr>
      <w:r>
        <w:t>Benchmarking parking standards developed by other Local Planning Authorities.  This benchmarking exercise referred only to parking standards adopted following the introduction of the NP</w:t>
      </w:r>
      <w:r w:rsidR="00036841">
        <w:t>PF i</w:t>
      </w:r>
      <w:r>
        <w:t xml:space="preserve">n 2012, as the NPPF brought about a key shift in national policy away from restrictive </w:t>
      </w:r>
      <w:r w:rsidR="000F4F4C">
        <w:t>parking standards.</w:t>
      </w:r>
    </w:p>
    <w:p w:rsidR="000F4F4C" w:rsidRDefault="000F4F4C" w:rsidP="00BA1FCD">
      <w:pPr>
        <w:pStyle w:val="ListParagraph"/>
        <w:numPr>
          <w:ilvl w:val="0"/>
          <w:numId w:val="1"/>
        </w:numPr>
        <w:ind w:hanging="340"/>
      </w:pPr>
      <w:r>
        <w:t>Literature review of research into residential parking, most notably the survey evidence presented in ‘Space to Park’.</w:t>
      </w:r>
    </w:p>
    <w:p w:rsidR="00A05596" w:rsidRPr="00881A1B" w:rsidRDefault="00A05596" w:rsidP="00BA1FCD">
      <w:pPr>
        <w:pStyle w:val="ListParagraph"/>
        <w:numPr>
          <w:ilvl w:val="0"/>
          <w:numId w:val="1"/>
        </w:numPr>
        <w:ind w:hanging="340"/>
      </w:pPr>
      <w:r w:rsidRPr="00881A1B">
        <w:t>Observational evidence from site visits</w:t>
      </w:r>
    </w:p>
    <w:p w:rsidR="000F4F4C" w:rsidRDefault="000F4F4C" w:rsidP="000F4F4C"/>
    <w:p w:rsidR="00E31561" w:rsidRPr="00380881" w:rsidRDefault="00BA1FCD" w:rsidP="00E31561">
      <w:pPr>
        <w:rPr>
          <w:b/>
          <w:sz w:val="24"/>
          <w:szCs w:val="24"/>
        </w:rPr>
      </w:pPr>
      <w:r>
        <w:rPr>
          <w:b/>
          <w:sz w:val="24"/>
          <w:szCs w:val="24"/>
        </w:rPr>
        <w:t>2.2</w:t>
      </w:r>
      <w:r w:rsidR="004623F6">
        <w:rPr>
          <w:b/>
          <w:sz w:val="24"/>
          <w:szCs w:val="24"/>
        </w:rPr>
        <w:t xml:space="preserve"> </w:t>
      </w:r>
      <w:r w:rsidR="00BF01C0" w:rsidRPr="00380881">
        <w:rPr>
          <w:b/>
          <w:sz w:val="24"/>
          <w:szCs w:val="24"/>
        </w:rPr>
        <w:t>Car ownership in Warwick District</w:t>
      </w:r>
    </w:p>
    <w:p w:rsidR="00E31561" w:rsidRDefault="00997D07" w:rsidP="00E31561">
      <w:pPr>
        <w:rPr>
          <w:b/>
        </w:rPr>
      </w:pPr>
      <w:r>
        <w:rPr>
          <w:b/>
        </w:rPr>
        <w:t xml:space="preserve">Table 1-1 </w:t>
      </w:r>
      <w:r w:rsidR="00E31561">
        <w:rPr>
          <w:b/>
        </w:rPr>
        <w:t>Warwick District car ownership in context (based on 2011 census data)</w:t>
      </w:r>
    </w:p>
    <w:tbl>
      <w:tblPr>
        <w:tblStyle w:val="TableGrid"/>
        <w:tblW w:w="0" w:type="auto"/>
        <w:tblLook w:val="04A0" w:firstRow="1" w:lastRow="0" w:firstColumn="1" w:lastColumn="0" w:noHBand="0" w:noVBand="1"/>
      </w:tblPr>
      <w:tblGrid>
        <w:gridCol w:w="2942"/>
        <w:gridCol w:w="2808"/>
        <w:gridCol w:w="2808"/>
        <w:gridCol w:w="2808"/>
        <w:gridCol w:w="2808"/>
      </w:tblGrid>
      <w:tr w:rsidR="00E31561" w:rsidTr="00EC5C2A">
        <w:tc>
          <w:tcPr>
            <w:tcW w:w="4230" w:type="dxa"/>
            <w:shd w:val="clear" w:color="auto" w:fill="C6D9F1" w:themeFill="text2" w:themeFillTint="33"/>
          </w:tcPr>
          <w:p w:rsidR="00E31561" w:rsidRDefault="00E31561" w:rsidP="00EC5C2A">
            <w:pPr>
              <w:rPr>
                <w:b/>
              </w:rPr>
            </w:pPr>
          </w:p>
        </w:tc>
        <w:tc>
          <w:tcPr>
            <w:tcW w:w="4230" w:type="dxa"/>
            <w:shd w:val="clear" w:color="auto" w:fill="C6D9F1" w:themeFill="text2" w:themeFillTint="33"/>
          </w:tcPr>
          <w:p w:rsidR="00E31561" w:rsidRDefault="00E31561" w:rsidP="00EC5C2A">
            <w:pPr>
              <w:jc w:val="center"/>
              <w:rPr>
                <w:b/>
              </w:rPr>
            </w:pPr>
            <w:r>
              <w:rPr>
                <w:b/>
              </w:rPr>
              <w:t>% no cars in household</w:t>
            </w:r>
          </w:p>
        </w:tc>
        <w:tc>
          <w:tcPr>
            <w:tcW w:w="4230" w:type="dxa"/>
            <w:shd w:val="clear" w:color="auto" w:fill="C6D9F1" w:themeFill="text2" w:themeFillTint="33"/>
          </w:tcPr>
          <w:p w:rsidR="00E31561" w:rsidRDefault="00E31561" w:rsidP="00EC5C2A">
            <w:pPr>
              <w:jc w:val="center"/>
              <w:rPr>
                <w:b/>
              </w:rPr>
            </w:pPr>
            <w:r>
              <w:rPr>
                <w:b/>
              </w:rPr>
              <w:t>% 1 car per household</w:t>
            </w:r>
          </w:p>
        </w:tc>
        <w:tc>
          <w:tcPr>
            <w:tcW w:w="4230" w:type="dxa"/>
            <w:shd w:val="clear" w:color="auto" w:fill="C6D9F1" w:themeFill="text2" w:themeFillTint="33"/>
          </w:tcPr>
          <w:p w:rsidR="00E31561" w:rsidRDefault="00E31561" w:rsidP="00EC5C2A">
            <w:pPr>
              <w:jc w:val="center"/>
              <w:rPr>
                <w:b/>
              </w:rPr>
            </w:pPr>
            <w:r>
              <w:rPr>
                <w:b/>
              </w:rPr>
              <w:t>% 2 cars per household</w:t>
            </w:r>
          </w:p>
        </w:tc>
        <w:tc>
          <w:tcPr>
            <w:tcW w:w="4230" w:type="dxa"/>
            <w:shd w:val="clear" w:color="auto" w:fill="C6D9F1" w:themeFill="text2" w:themeFillTint="33"/>
          </w:tcPr>
          <w:p w:rsidR="00E31561" w:rsidRDefault="00E31561" w:rsidP="00EC5C2A">
            <w:pPr>
              <w:jc w:val="center"/>
              <w:rPr>
                <w:b/>
              </w:rPr>
            </w:pPr>
            <w:r>
              <w:rPr>
                <w:b/>
              </w:rPr>
              <w:t>% 3+ cars per household</w:t>
            </w:r>
          </w:p>
        </w:tc>
      </w:tr>
      <w:tr w:rsidR="00E31561" w:rsidTr="00EC5C2A">
        <w:tc>
          <w:tcPr>
            <w:tcW w:w="4230" w:type="dxa"/>
          </w:tcPr>
          <w:p w:rsidR="00E31561" w:rsidRDefault="00E31561" w:rsidP="00EC5C2A">
            <w:pPr>
              <w:rPr>
                <w:b/>
              </w:rPr>
            </w:pPr>
            <w:r>
              <w:rPr>
                <w:b/>
              </w:rPr>
              <w:t>England</w:t>
            </w:r>
          </w:p>
        </w:tc>
        <w:tc>
          <w:tcPr>
            <w:tcW w:w="4230" w:type="dxa"/>
          </w:tcPr>
          <w:p w:rsidR="00E31561" w:rsidRPr="005B1DBF" w:rsidRDefault="00E31561" w:rsidP="00EC5C2A">
            <w:pPr>
              <w:jc w:val="center"/>
            </w:pPr>
            <w:r w:rsidRPr="005B1DBF">
              <w:t>25.8</w:t>
            </w:r>
          </w:p>
        </w:tc>
        <w:tc>
          <w:tcPr>
            <w:tcW w:w="4230" w:type="dxa"/>
          </w:tcPr>
          <w:p w:rsidR="00E31561" w:rsidRPr="005B1DBF" w:rsidRDefault="00E31561" w:rsidP="00EC5C2A">
            <w:pPr>
              <w:jc w:val="center"/>
            </w:pPr>
            <w:r>
              <w:t>42.2</w:t>
            </w:r>
          </w:p>
        </w:tc>
        <w:tc>
          <w:tcPr>
            <w:tcW w:w="4230" w:type="dxa"/>
          </w:tcPr>
          <w:p w:rsidR="00E31561" w:rsidRPr="005B1DBF" w:rsidRDefault="00E31561" w:rsidP="00EC5C2A">
            <w:pPr>
              <w:jc w:val="center"/>
            </w:pPr>
            <w:r>
              <w:t>24.7</w:t>
            </w:r>
          </w:p>
        </w:tc>
        <w:tc>
          <w:tcPr>
            <w:tcW w:w="4230" w:type="dxa"/>
          </w:tcPr>
          <w:p w:rsidR="00E31561" w:rsidRPr="005B1DBF" w:rsidRDefault="00E31561" w:rsidP="00EC5C2A">
            <w:pPr>
              <w:jc w:val="center"/>
            </w:pPr>
            <w:r>
              <w:t>7.4</w:t>
            </w:r>
          </w:p>
        </w:tc>
      </w:tr>
      <w:tr w:rsidR="00E31561" w:rsidTr="00EC5C2A">
        <w:tc>
          <w:tcPr>
            <w:tcW w:w="4230" w:type="dxa"/>
          </w:tcPr>
          <w:p w:rsidR="00E31561" w:rsidRDefault="00E31561" w:rsidP="00EC5C2A">
            <w:pPr>
              <w:rPr>
                <w:b/>
              </w:rPr>
            </w:pPr>
            <w:r>
              <w:rPr>
                <w:b/>
              </w:rPr>
              <w:t>West Midlands</w:t>
            </w:r>
          </w:p>
        </w:tc>
        <w:tc>
          <w:tcPr>
            <w:tcW w:w="4230" w:type="dxa"/>
          </w:tcPr>
          <w:p w:rsidR="00E31561" w:rsidRPr="005B1DBF" w:rsidRDefault="00E31561" w:rsidP="00EC5C2A">
            <w:pPr>
              <w:jc w:val="center"/>
            </w:pPr>
            <w:r>
              <w:t>24.7</w:t>
            </w:r>
          </w:p>
        </w:tc>
        <w:tc>
          <w:tcPr>
            <w:tcW w:w="4230" w:type="dxa"/>
          </w:tcPr>
          <w:p w:rsidR="00E31561" w:rsidRPr="005B1DBF" w:rsidRDefault="00E31561" w:rsidP="00EC5C2A">
            <w:pPr>
              <w:jc w:val="center"/>
            </w:pPr>
            <w:r>
              <w:t>41.5</w:t>
            </w:r>
          </w:p>
        </w:tc>
        <w:tc>
          <w:tcPr>
            <w:tcW w:w="4230" w:type="dxa"/>
          </w:tcPr>
          <w:p w:rsidR="00E31561" w:rsidRPr="005B1DBF" w:rsidRDefault="00E31561" w:rsidP="00EC5C2A">
            <w:pPr>
              <w:jc w:val="center"/>
            </w:pPr>
            <w:r>
              <w:t>25.8</w:t>
            </w:r>
          </w:p>
        </w:tc>
        <w:tc>
          <w:tcPr>
            <w:tcW w:w="4230" w:type="dxa"/>
          </w:tcPr>
          <w:p w:rsidR="00E31561" w:rsidRPr="005B1DBF" w:rsidRDefault="00E31561" w:rsidP="00EC5C2A">
            <w:pPr>
              <w:jc w:val="center"/>
            </w:pPr>
            <w:r>
              <w:t>8.0</w:t>
            </w:r>
          </w:p>
        </w:tc>
      </w:tr>
      <w:tr w:rsidR="00E31561" w:rsidTr="00EC5C2A">
        <w:tc>
          <w:tcPr>
            <w:tcW w:w="4230" w:type="dxa"/>
          </w:tcPr>
          <w:p w:rsidR="00E31561" w:rsidRDefault="00E31561" w:rsidP="00EC5C2A">
            <w:pPr>
              <w:rPr>
                <w:b/>
              </w:rPr>
            </w:pPr>
            <w:r>
              <w:rPr>
                <w:b/>
              </w:rPr>
              <w:t>Warwickshire</w:t>
            </w:r>
          </w:p>
        </w:tc>
        <w:tc>
          <w:tcPr>
            <w:tcW w:w="4230" w:type="dxa"/>
          </w:tcPr>
          <w:p w:rsidR="00E31561" w:rsidRPr="005B1DBF" w:rsidRDefault="00E31561" w:rsidP="00EC5C2A">
            <w:pPr>
              <w:jc w:val="center"/>
            </w:pPr>
            <w:r>
              <w:t>17.6</w:t>
            </w:r>
          </w:p>
        </w:tc>
        <w:tc>
          <w:tcPr>
            <w:tcW w:w="4230" w:type="dxa"/>
          </w:tcPr>
          <w:p w:rsidR="00E31561" w:rsidRPr="005B1DBF" w:rsidRDefault="00E31561" w:rsidP="00EC5C2A">
            <w:pPr>
              <w:jc w:val="center"/>
            </w:pPr>
            <w:r>
              <w:t>40.9</w:t>
            </w:r>
          </w:p>
        </w:tc>
        <w:tc>
          <w:tcPr>
            <w:tcW w:w="4230" w:type="dxa"/>
          </w:tcPr>
          <w:p w:rsidR="00E31561" w:rsidRPr="005B1DBF" w:rsidRDefault="00E31561" w:rsidP="00EC5C2A">
            <w:pPr>
              <w:jc w:val="center"/>
            </w:pPr>
            <w:r>
              <w:t>31.3</w:t>
            </w:r>
          </w:p>
        </w:tc>
        <w:tc>
          <w:tcPr>
            <w:tcW w:w="4230" w:type="dxa"/>
          </w:tcPr>
          <w:p w:rsidR="00E31561" w:rsidRPr="005B1DBF" w:rsidRDefault="00E31561" w:rsidP="00EC5C2A">
            <w:pPr>
              <w:jc w:val="center"/>
            </w:pPr>
            <w:r>
              <w:t>10.2</w:t>
            </w:r>
          </w:p>
        </w:tc>
      </w:tr>
      <w:tr w:rsidR="00E31561" w:rsidTr="00EC5C2A">
        <w:tc>
          <w:tcPr>
            <w:tcW w:w="4230" w:type="dxa"/>
          </w:tcPr>
          <w:p w:rsidR="00E31561" w:rsidRDefault="00E31561" w:rsidP="00EC5C2A">
            <w:pPr>
              <w:rPr>
                <w:b/>
              </w:rPr>
            </w:pPr>
            <w:r>
              <w:rPr>
                <w:b/>
              </w:rPr>
              <w:t>Warwick District</w:t>
            </w:r>
          </w:p>
        </w:tc>
        <w:tc>
          <w:tcPr>
            <w:tcW w:w="4230" w:type="dxa"/>
          </w:tcPr>
          <w:p w:rsidR="00E31561" w:rsidRPr="005B1DBF" w:rsidRDefault="00E31561" w:rsidP="00EC5C2A">
            <w:pPr>
              <w:jc w:val="center"/>
            </w:pPr>
            <w:r>
              <w:t>18.5</w:t>
            </w:r>
          </w:p>
        </w:tc>
        <w:tc>
          <w:tcPr>
            <w:tcW w:w="4230" w:type="dxa"/>
          </w:tcPr>
          <w:p w:rsidR="00E31561" w:rsidRPr="005B1DBF" w:rsidRDefault="00E31561" w:rsidP="00EC5C2A">
            <w:pPr>
              <w:jc w:val="center"/>
            </w:pPr>
            <w:r>
              <w:t>41.0</w:t>
            </w:r>
          </w:p>
        </w:tc>
        <w:tc>
          <w:tcPr>
            <w:tcW w:w="4230" w:type="dxa"/>
          </w:tcPr>
          <w:p w:rsidR="00E31561" w:rsidRPr="005B1DBF" w:rsidRDefault="00E31561" w:rsidP="00EC5C2A">
            <w:pPr>
              <w:jc w:val="center"/>
            </w:pPr>
            <w:r>
              <w:t>31.4</w:t>
            </w:r>
          </w:p>
        </w:tc>
        <w:tc>
          <w:tcPr>
            <w:tcW w:w="4230" w:type="dxa"/>
          </w:tcPr>
          <w:p w:rsidR="00E31561" w:rsidRPr="005B1DBF" w:rsidRDefault="00E31561" w:rsidP="00EC5C2A">
            <w:pPr>
              <w:jc w:val="center"/>
            </w:pPr>
            <w:r>
              <w:t>9.1</w:t>
            </w:r>
          </w:p>
        </w:tc>
      </w:tr>
    </w:tbl>
    <w:p w:rsidR="00E31561" w:rsidRDefault="00E31561" w:rsidP="00E31561">
      <w:pPr>
        <w:rPr>
          <w:b/>
        </w:rPr>
      </w:pPr>
    </w:p>
    <w:p w:rsidR="00E31561" w:rsidRDefault="00E31561" w:rsidP="00E31561">
      <w:pPr>
        <w:pStyle w:val="ListParagraph"/>
        <w:numPr>
          <w:ilvl w:val="0"/>
          <w:numId w:val="5"/>
        </w:numPr>
      </w:pPr>
      <w:r w:rsidRPr="005B1DBF">
        <w:t>Warwickshire and Warwick District car owner</w:t>
      </w:r>
      <w:r>
        <w:t>ship figures are similar</w:t>
      </w:r>
    </w:p>
    <w:p w:rsidR="00E31561" w:rsidRDefault="00E31561" w:rsidP="00E31561">
      <w:pPr>
        <w:pStyle w:val="ListParagraph"/>
        <w:numPr>
          <w:ilvl w:val="0"/>
          <w:numId w:val="5"/>
        </w:numPr>
      </w:pPr>
      <w:r>
        <w:t>The % of households with no access to a vehicle is much lower at the county and district level than in the national and regional context.</w:t>
      </w:r>
    </w:p>
    <w:p w:rsidR="00E31561" w:rsidRPr="005B1DBF" w:rsidRDefault="00E31561" w:rsidP="00E31561">
      <w:pPr>
        <w:pStyle w:val="ListParagraph"/>
        <w:numPr>
          <w:ilvl w:val="0"/>
          <w:numId w:val="5"/>
        </w:numPr>
      </w:pPr>
      <w:r>
        <w:t>The % of households that have 2 or more vehicles is higher at the county and district level than the regional and national averages (particularly so in the % of households with two vehicles)</w:t>
      </w:r>
    </w:p>
    <w:p w:rsidR="00BF01C0" w:rsidRDefault="00BF01C0" w:rsidP="00E31561">
      <w:pPr>
        <w:rPr>
          <w:b/>
        </w:rPr>
      </w:pPr>
    </w:p>
    <w:p w:rsidR="00E31561" w:rsidRPr="009F0160" w:rsidRDefault="00997D07" w:rsidP="00E31561">
      <w:pPr>
        <w:rPr>
          <w:b/>
        </w:rPr>
      </w:pPr>
      <w:r>
        <w:rPr>
          <w:b/>
        </w:rPr>
        <w:lastRenderedPageBreak/>
        <w:t xml:space="preserve">Table 1-2 </w:t>
      </w:r>
      <w:r w:rsidR="00E31561" w:rsidRPr="009F0160">
        <w:rPr>
          <w:b/>
        </w:rPr>
        <w:t>Car ownership in Warwick District</w:t>
      </w:r>
      <w:r w:rsidR="00E31561">
        <w:rPr>
          <w:b/>
        </w:rPr>
        <w:t xml:space="preserve"> (based on census data)</w:t>
      </w:r>
    </w:p>
    <w:tbl>
      <w:tblPr>
        <w:tblStyle w:val="TableGrid"/>
        <w:tblW w:w="0" w:type="auto"/>
        <w:tblLook w:val="04A0" w:firstRow="1" w:lastRow="0" w:firstColumn="1" w:lastColumn="0" w:noHBand="0" w:noVBand="1"/>
      </w:tblPr>
      <w:tblGrid>
        <w:gridCol w:w="2996"/>
        <w:gridCol w:w="2840"/>
        <w:gridCol w:w="2749"/>
        <w:gridCol w:w="2840"/>
        <w:gridCol w:w="2749"/>
      </w:tblGrid>
      <w:tr w:rsidR="00E31561" w:rsidTr="00EC5C2A">
        <w:tc>
          <w:tcPr>
            <w:tcW w:w="4230" w:type="dxa"/>
            <w:vMerge w:val="restart"/>
            <w:shd w:val="clear" w:color="auto" w:fill="C6D9F1" w:themeFill="text2" w:themeFillTint="33"/>
          </w:tcPr>
          <w:p w:rsidR="00E31561" w:rsidRPr="00920A21" w:rsidRDefault="00E31561" w:rsidP="00EC5C2A">
            <w:pPr>
              <w:rPr>
                <w:b/>
              </w:rPr>
            </w:pPr>
            <w:r w:rsidRPr="00920A21">
              <w:rPr>
                <w:b/>
              </w:rPr>
              <w:t>Car or van availability</w:t>
            </w:r>
          </w:p>
        </w:tc>
        <w:tc>
          <w:tcPr>
            <w:tcW w:w="8460" w:type="dxa"/>
            <w:gridSpan w:val="2"/>
            <w:shd w:val="clear" w:color="auto" w:fill="C6D9F1" w:themeFill="text2" w:themeFillTint="33"/>
          </w:tcPr>
          <w:p w:rsidR="00E31561" w:rsidRPr="00920A21" w:rsidRDefault="00E31561" w:rsidP="00EC5C2A">
            <w:pPr>
              <w:jc w:val="center"/>
              <w:rPr>
                <w:b/>
              </w:rPr>
            </w:pPr>
            <w:r w:rsidRPr="00920A21">
              <w:rPr>
                <w:b/>
              </w:rPr>
              <w:t>2011</w:t>
            </w:r>
            <w:r>
              <w:rPr>
                <w:b/>
              </w:rPr>
              <w:t xml:space="preserve"> census</w:t>
            </w:r>
          </w:p>
        </w:tc>
        <w:tc>
          <w:tcPr>
            <w:tcW w:w="8460" w:type="dxa"/>
            <w:gridSpan w:val="2"/>
            <w:shd w:val="clear" w:color="auto" w:fill="C6D9F1" w:themeFill="text2" w:themeFillTint="33"/>
          </w:tcPr>
          <w:p w:rsidR="00E31561" w:rsidRPr="00920A21" w:rsidRDefault="00E31561" w:rsidP="00EC5C2A">
            <w:pPr>
              <w:jc w:val="center"/>
              <w:rPr>
                <w:b/>
              </w:rPr>
            </w:pPr>
            <w:r w:rsidRPr="00920A21">
              <w:rPr>
                <w:b/>
              </w:rPr>
              <w:t>2001</w:t>
            </w:r>
            <w:r>
              <w:rPr>
                <w:b/>
              </w:rPr>
              <w:t xml:space="preserve"> census</w:t>
            </w:r>
          </w:p>
        </w:tc>
      </w:tr>
      <w:tr w:rsidR="00E31561" w:rsidTr="00EC5C2A">
        <w:tc>
          <w:tcPr>
            <w:tcW w:w="4230" w:type="dxa"/>
            <w:vMerge/>
            <w:shd w:val="clear" w:color="auto" w:fill="C6D9F1" w:themeFill="text2" w:themeFillTint="33"/>
          </w:tcPr>
          <w:p w:rsidR="00E31561" w:rsidRDefault="00E31561" w:rsidP="00EC5C2A"/>
        </w:tc>
        <w:tc>
          <w:tcPr>
            <w:tcW w:w="4230" w:type="dxa"/>
            <w:shd w:val="clear" w:color="auto" w:fill="C6D9F1" w:themeFill="text2" w:themeFillTint="33"/>
          </w:tcPr>
          <w:p w:rsidR="00E31561" w:rsidRPr="00920A21" w:rsidRDefault="00E31561" w:rsidP="00EC5C2A">
            <w:pPr>
              <w:jc w:val="center"/>
              <w:rPr>
                <w:b/>
              </w:rPr>
            </w:pPr>
            <w:r w:rsidRPr="00920A21">
              <w:rPr>
                <w:b/>
              </w:rPr>
              <w:t>No.</w:t>
            </w:r>
          </w:p>
        </w:tc>
        <w:tc>
          <w:tcPr>
            <w:tcW w:w="4230" w:type="dxa"/>
            <w:shd w:val="clear" w:color="auto" w:fill="C6D9F1" w:themeFill="text2" w:themeFillTint="33"/>
          </w:tcPr>
          <w:p w:rsidR="00E31561" w:rsidRPr="00920A21" w:rsidRDefault="00E31561" w:rsidP="00EC5C2A">
            <w:pPr>
              <w:jc w:val="center"/>
              <w:rPr>
                <w:b/>
              </w:rPr>
            </w:pPr>
            <w:r w:rsidRPr="00920A21">
              <w:rPr>
                <w:b/>
              </w:rPr>
              <w:t>%</w:t>
            </w:r>
          </w:p>
        </w:tc>
        <w:tc>
          <w:tcPr>
            <w:tcW w:w="4230" w:type="dxa"/>
            <w:shd w:val="clear" w:color="auto" w:fill="C6D9F1" w:themeFill="text2" w:themeFillTint="33"/>
          </w:tcPr>
          <w:p w:rsidR="00E31561" w:rsidRPr="00920A21" w:rsidRDefault="00E31561" w:rsidP="00EC5C2A">
            <w:pPr>
              <w:jc w:val="center"/>
              <w:rPr>
                <w:b/>
              </w:rPr>
            </w:pPr>
            <w:r w:rsidRPr="00920A21">
              <w:rPr>
                <w:b/>
              </w:rPr>
              <w:t>No.</w:t>
            </w:r>
          </w:p>
        </w:tc>
        <w:tc>
          <w:tcPr>
            <w:tcW w:w="4230" w:type="dxa"/>
            <w:shd w:val="clear" w:color="auto" w:fill="C6D9F1" w:themeFill="text2" w:themeFillTint="33"/>
          </w:tcPr>
          <w:p w:rsidR="00E31561" w:rsidRPr="00920A21" w:rsidRDefault="00E31561" w:rsidP="00EC5C2A">
            <w:pPr>
              <w:jc w:val="center"/>
              <w:rPr>
                <w:b/>
              </w:rPr>
            </w:pPr>
            <w:r w:rsidRPr="00920A21">
              <w:rPr>
                <w:b/>
              </w:rPr>
              <w:t>%</w:t>
            </w:r>
          </w:p>
        </w:tc>
      </w:tr>
      <w:tr w:rsidR="00E31561" w:rsidTr="00EC5C2A">
        <w:tc>
          <w:tcPr>
            <w:tcW w:w="4230" w:type="dxa"/>
          </w:tcPr>
          <w:p w:rsidR="00E31561" w:rsidRDefault="00E31561" w:rsidP="00EC5C2A">
            <w:r>
              <w:t>Without car/van</w:t>
            </w:r>
          </w:p>
        </w:tc>
        <w:tc>
          <w:tcPr>
            <w:tcW w:w="4230" w:type="dxa"/>
          </w:tcPr>
          <w:p w:rsidR="00E31561" w:rsidRDefault="00E31561" w:rsidP="00EC5C2A">
            <w:pPr>
              <w:jc w:val="center"/>
            </w:pPr>
            <w:r>
              <w:t>10,848</w:t>
            </w:r>
          </w:p>
        </w:tc>
        <w:tc>
          <w:tcPr>
            <w:tcW w:w="4230" w:type="dxa"/>
          </w:tcPr>
          <w:p w:rsidR="00E31561" w:rsidRDefault="00E31561" w:rsidP="00EC5C2A">
            <w:pPr>
              <w:jc w:val="center"/>
            </w:pPr>
            <w:r>
              <w:t>18.5</w:t>
            </w:r>
          </w:p>
        </w:tc>
        <w:tc>
          <w:tcPr>
            <w:tcW w:w="4230" w:type="dxa"/>
          </w:tcPr>
          <w:p w:rsidR="00E31561" w:rsidRDefault="00E31561" w:rsidP="00EC5C2A">
            <w:pPr>
              <w:jc w:val="center"/>
            </w:pPr>
            <w:r>
              <w:t>10,341</w:t>
            </w:r>
          </w:p>
        </w:tc>
        <w:tc>
          <w:tcPr>
            <w:tcW w:w="4230" w:type="dxa"/>
          </w:tcPr>
          <w:p w:rsidR="00E31561" w:rsidRDefault="00E31561" w:rsidP="00EC5C2A">
            <w:pPr>
              <w:jc w:val="center"/>
            </w:pPr>
            <w:r>
              <w:t>19.4</w:t>
            </w:r>
          </w:p>
        </w:tc>
      </w:tr>
      <w:tr w:rsidR="00E31561" w:rsidTr="00EC5C2A">
        <w:tc>
          <w:tcPr>
            <w:tcW w:w="4230" w:type="dxa"/>
          </w:tcPr>
          <w:p w:rsidR="00E31561" w:rsidRDefault="00E31561" w:rsidP="00EC5C2A">
            <w:r>
              <w:t>With 1 car/van</w:t>
            </w:r>
          </w:p>
        </w:tc>
        <w:tc>
          <w:tcPr>
            <w:tcW w:w="4230" w:type="dxa"/>
          </w:tcPr>
          <w:p w:rsidR="00E31561" w:rsidRDefault="00E31561" w:rsidP="00EC5C2A">
            <w:pPr>
              <w:jc w:val="center"/>
            </w:pPr>
            <w:r>
              <w:t>24,086</w:t>
            </w:r>
          </w:p>
        </w:tc>
        <w:tc>
          <w:tcPr>
            <w:tcW w:w="4230" w:type="dxa"/>
          </w:tcPr>
          <w:p w:rsidR="00E31561" w:rsidRDefault="00E31561" w:rsidP="00EC5C2A">
            <w:pPr>
              <w:jc w:val="center"/>
            </w:pPr>
            <w:r>
              <w:t>41.0</w:t>
            </w:r>
          </w:p>
        </w:tc>
        <w:tc>
          <w:tcPr>
            <w:tcW w:w="4230" w:type="dxa"/>
          </w:tcPr>
          <w:p w:rsidR="00E31561" w:rsidRDefault="00E31561" w:rsidP="00EC5C2A">
            <w:pPr>
              <w:jc w:val="center"/>
            </w:pPr>
            <w:r>
              <w:t>22,626</w:t>
            </w:r>
          </w:p>
        </w:tc>
        <w:tc>
          <w:tcPr>
            <w:tcW w:w="4230" w:type="dxa"/>
          </w:tcPr>
          <w:p w:rsidR="00E31561" w:rsidRDefault="00E31561" w:rsidP="00EC5C2A">
            <w:pPr>
              <w:jc w:val="center"/>
            </w:pPr>
            <w:r>
              <w:t>42.4</w:t>
            </w:r>
          </w:p>
        </w:tc>
      </w:tr>
      <w:tr w:rsidR="00E31561" w:rsidTr="00EC5C2A">
        <w:tc>
          <w:tcPr>
            <w:tcW w:w="4230" w:type="dxa"/>
          </w:tcPr>
          <w:p w:rsidR="00E31561" w:rsidRDefault="00E31561" w:rsidP="00EC5C2A">
            <w:r>
              <w:t>With 2 cars/vans</w:t>
            </w:r>
          </w:p>
        </w:tc>
        <w:tc>
          <w:tcPr>
            <w:tcW w:w="4230" w:type="dxa"/>
          </w:tcPr>
          <w:p w:rsidR="00E31561" w:rsidRDefault="00E31561" w:rsidP="00EC5C2A">
            <w:pPr>
              <w:jc w:val="center"/>
            </w:pPr>
            <w:r>
              <w:t>18,413</w:t>
            </w:r>
          </w:p>
        </w:tc>
        <w:tc>
          <w:tcPr>
            <w:tcW w:w="4230" w:type="dxa"/>
          </w:tcPr>
          <w:p w:rsidR="00E31561" w:rsidRDefault="00E31561" w:rsidP="00EC5C2A">
            <w:pPr>
              <w:jc w:val="center"/>
            </w:pPr>
            <w:r>
              <w:t>31.4</w:t>
            </w:r>
          </w:p>
        </w:tc>
        <w:tc>
          <w:tcPr>
            <w:tcW w:w="4230" w:type="dxa"/>
          </w:tcPr>
          <w:p w:rsidR="00E31561" w:rsidRDefault="00E31561" w:rsidP="00EC5C2A">
            <w:pPr>
              <w:jc w:val="center"/>
            </w:pPr>
            <w:r>
              <w:t>16,332</w:t>
            </w:r>
          </w:p>
        </w:tc>
        <w:tc>
          <w:tcPr>
            <w:tcW w:w="4230" w:type="dxa"/>
          </w:tcPr>
          <w:p w:rsidR="00E31561" w:rsidRDefault="00E31561" w:rsidP="00EC5C2A">
            <w:pPr>
              <w:jc w:val="center"/>
            </w:pPr>
            <w:r>
              <w:t>30.6</w:t>
            </w:r>
          </w:p>
        </w:tc>
      </w:tr>
      <w:tr w:rsidR="00E31561" w:rsidTr="00EC5C2A">
        <w:tc>
          <w:tcPr>
            <w:tcW w:w="4230" w:type="dxa"/>
          </w:tcPr>
          <w:p w:rsidR="00E31561" w:rsidRDefault="00E31561" w:rsidP="00EC5C2A">
            <w:r>
              <w:t>With 3+ cars/vans</w:t>
            </w:r>
          </w:p>
        </w:tc>
        <w:tc>
          <w:tcPr>
            <w:tcW w:w="4230" w:type="dxa"/>
          </w:tcPr>
          <w:p w:rsidR="00E31561" w:rsidRDefault="00E31561" w:rsidP="00EC5C2A">
            <w:pPr>
              <w:jc w:val="center"/>
            </w:pPr>
            <w:r>
              <w:t>5,332</w:t>
            </w:r>
          </w:p>
        </w:tc>
        <w:tc>
          <w:tcPr>
            <w:tcW w:w="4230" w:type="dxa"/>
          </w:tcPr>
          <w:p w:rsidR="00E31561" w:rsidRDefault="00E31561" w:rsidP="00EC5C2A">
            <w:pPr>
              <w:jc w:val="center"/>
            </w:pPr>
            <w:r>
              <w:t>9.1</w:t>
            </w:r>
          </w:p>
        </w:tc>
        <w:tc>
          <w:tcPr>
            <w:tcW w:w="4230" w:type="dxa"/>
          </w:tcPr>
          <w:p w:rsidR="00E31561" w:rsidRDefault="00E31561" w:rsidP="00EC5C2A">
            <w:pPr>
              <w:jc w:val="center"/>
            </w:pPr>
            <w:r>
              <w:t>4,067</w:t>
            </w:r>
          </w:p>
        </w:tc>
        <w:tc>
          <w:tcPr>
            <w:tcW w:w="4230" w:type="dxa"/>
          </w:tcPr>
          <w:p w:rsidR="00E31561" w:rsidRDefault="00E31561" w:rsidP="00EC5C2A">
            <w:pPr>
              <w:jc w:val="center"/>
            </w:pPr>
            <w:r>
              <w:t>7.6</w:t>
            </w:r>
          </w:p>
        </w:tc>
      </w:tr>
      <w:tr w:rsidR="00E31561" w:rsidTr="00EC5C2A">
        <w:tc>
          <w:tcPr>
            <w:tcW w:w="4230" w:type="dxa"/>
          </w:tcPr>
          <w:p w:rsidR="00E31561" w:rsidRDefault="00E31561" w:rsidP="00EC5C2A"/>
        </w:tc>
        <w:tc>
          <w:tcPr>
            <w:tcW w:w="4230" w:type="dxa"/>
          </w:tcPr>
          <w:p w:rsidR="00E31561" w:rsidRDefault="00E31561" w:rsidP="00EC5C2A">
            <w:pPr>
              <w:jc w:val="center"/>
            </w:pPr>
          </w:p>
        </w:tc>
        <w:tc>
          <w:tcPr>
            <w:tcW w:w="4230" w:type="dxa"/>
          </w:tcPr>
          <w:p w:rsidR="00E31561" w:rsidRDefault="00E31561" w:rsidP="00EC5C2A">
            <w:pPr>
              <w:jc w:val="center"/>
            </w:pPr>
          </w:p>
        </w:tc>
        <w:tc>
          <w:tcPr>
            <w:tcW w:w="4230" w:type="dxa"/>
          </w:tcPr>
          <w:p w:rsidR="00E31561" w:rsidRDefault="00E31561" w:rsidP="00EC5C2A">
            <w:pPr>
              <w:jc w:val="center"/>
            </w:pPr>
          </w:p>
        </w:tc>
        <w:tc>
          <w:tcPr>
            <w:tcW w:w="4230" w:type="dxa"/>
          </w:tcPr>
          <w:p w:rsidR="00E31561" w:rsidRDefault="00E31561" w:rsidP="00EC5C2A">
            <w:pPr>
              <w:jc w:val="center"/>
            </w:pPr>
          </w:p>
        </w:tc>
      </w:tr>
      <w:tr w:rsidR="00E31561" w:rsidTr="00EC5C2A">
        <w:tc>
          <w:tcPr>
            <w:tcW w:w="4230" w:type="dxa"/>
          </w:tcPr>
          <w:p w:rsidR="00E31561" w:rsidRDefault="00E31561" w:rsidP="00EC5C2A">
            <w:r>
              <w:t>All cars in area</w:t>
            </w:r>
          </w:p>
        </w:tc>
        <w:tc>
          <w:tcPr>
            <w:tcW w:w="4230" w:type="dxa"/>
          </w:tcPr>
          <w:p w:rsidR="00E31561" w:rsidRDefault="00E31561" w:rsidP="00EC5C2A">
            <w:pPr>
              <w:jc w:val="center"/>
            </w:pPr>
            <w:r>
              <w:t>79,020</w:t>
            </w:r>
          </w:p>
        </w:tc>
        <w:tc>
          <w:tcPr>
            <w:tcW w:w="4230" w:type="dxa"/>
          </w:tcPr>
          <w:p w:rsidR="00E31561" w:rsidRDefault="00E31561" w:rsidP="00EC5C2A">
            <w:pPr>
              <w:jc w:val="center"/>
            </w:pPr>
            <w:r>
              <w:t>-</w:t>
            </w:r>
          </w:p>
        </w:tc>
        <w:tc>
          <w:tcPr>
            <w:tcW w:w="4230" w:type="dxa"/>
          </w:tcPr>
          <w:p w:rsidR="00E31561" w:rsidRDefault="00E31561" w:rsidP="00EC5C2A">
            <w:pPr>
              <w:jc w:val="center"/>
            </w:pPr>
            <w:r>
              <w:t>68,981</w:t>
            </w:r>
          </w:p>
        </w:tc>
        <w:tc>
          <w:tcPr>
            <w:tcW w:w="4230" w:type="dxa"/>
          </w:tcPr>
          <w:p w:rsidR="00E31561" w:rsidRDefault="00E31561" w:rsidP="00EC5C2A">
            <w:pPr>
              <w:jc w:val="center"/>
            </w:pPr>
            <w:r>
              <w:t>-</w:t>
            </w:r>
          </w:p>
        </w:tc>
      </w:tr>
    </w:tbl>
    <w:p w:rsidR="00E31561" w:rsidRDefault="00E31561" w:rsidP="00E31561"/>
    <w:p w:rsidR="00E31561" w:rsidRDefault="00E31561" w:rsidP="00E31561">
      <w:pPr>
        <w:pStyle w:val="ListParagraph"/>
        <w:numPr>
          <w:ilvl w:val="0"/>
          <w:numId w:val="4"/>
        </w:numPr>
      </w:pPr>
      <w:r>
        <w:t>There is an upward trend in car ownership according to census data</w:t>
      </w: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380881" w:rsidRDefault="00380881" w:rsidP="00E31561">
      <w:pPr>
        <w:rPr>
          <w:b/>
        </w:rPr>
      </w:pPr>
    </w:p>
    <w:p w:rsidR="00E31561" w:rsidRPr="005B6350" w:rsidRDefault="00997D07" w:rsidP="00E31561">
      <w:pPr>
        <w:rPr>
          <w:b/>
        </w:rPr>
      </w:pPr>
      <w:r>
        <w:rPr>
          <w:b/>
        </w:rPr>
        <w:lastRenderedPageBreak/>
        <w:t xml:space="preserve">Table 1-3 </w:t>
      </w:r>
      <w:r w:rsidR="00E31561" w:rsidRPr="005B6350">
        <w:rPr>
          <w:b/>
        </w:rPr>
        <w:t>Car ownership by Ward</w:t>
      </w:r>
    </w:p>
    <w:tbl>
      <w:tblPr>
        <w:tblStyle w:val="TableGrid"/>
        <w:tblW w:w="0" w:type="auto"/>
        <w:tblLook w:val="04A0" w:firstRow="1" w:lastRow="0" w:firstColumn="1" w:lastColumn="0" w:noHBand="0" w:noVBand="1"/>
      </w:tblPr>
      <w:tblGrid>
        <w:gridCol w:w="2540"/>
        <w:gridCol w:w="3065"/>
        <w:gridCol w:w="2541"/>
        <w:gridCol w:w="3019"/>
        <w:gridCol w:w="2977"/>
      </w:tblGrid>
      <w:tr w:rsidR="00E31561" w:rsidTr="00EC5C2A">
        <w:tc>
          <w:tcPr>
            <w:tcW w:w="2540" w:type="dxa"/>
            <w:shd w:val="clear" w:color="auto" w:fill="C6D9F1" w:themeFill="text2" w:themeFillTint="33"/>
          </w:tcPr>
          <w:p w:rsidR="00E31561" w:rsidRPr="00661BBC" w:rsidRDefault="00E31561" w:rsidP="00EC5C2A">
            <w:pPr>
              <w:jc w:val="center"/>
              <w:rPr>
                <w:b/>
              </w:rPr>
            </w:pPr>
            <w:r w:rsidRPr="00661BBC">
              <w:rPr>
                <w:b/>
              </w:rPr>
              <w:t>Ward</w:t>
            </w:r>
          </w:p>
        </w:tc>
        <w:tc>
          <w:tcPr>
            <w:tcW w:w="3065" w:type="dxa"/>
            <w:shd w:val="clear" w:color="auto" w:fill="C6D9F1" w:themeFill="text2" w:themeFillTint="33"/>
          </w:tcPr>
          <w:p w:rsidR="00E31561" w:rsidRPr="00661BBC" w:rsidRDefault="00E31561" w:rsidP="00EC5C2A">
            <w:pPr>
              <w:jc w:val="center"/>
              <w:rPr>
                <w:b/>
              </w:rPr>
            </w:pPr>
            <w:r w:rsidRPr="00661BBC">
              <w:rPr>
                <w:b/>
              </w:rPr>
              <w:t>% of dwellings with no cars</w:t>
            </w:r>
            <w:r>
              <w:rPr>
                <w:b/>
              </w:rPr>
              <w:t>/vans</w:t>
            </w:r>
            <w:r w:rsidRPr="00661BBC">
              <w:rPr>
                <w:b/>
              </w:rPr>
              <w:t xml:space="preserve"> per household</w:t>
            </w:r>
          </w:p>
        </w:tc>
        <w:tc>
          <w:tcPr>
            <w:tcW w:w="2541" w:type="dxa"/>
            <w:shd w:val="clear" w:color="auto" w:fill="C6D9F1" w:themeFill="text2" w:themeFillTint="33"/>
          </w:tcPr>
          <w:p w:rsidR="00E31561" w:rsidRPr="00F8776D" w:rsidRDefault="00E31561" w:rsidP="00EC5C2A">
            <w:pPr>
              <w:jc w:val="center"/>
              <w:rPr>
                <w:b/>
              </w:rPr>
            </w:pPr>
            <w:r w:rsidRPr="00F8776D">
              <w:rPr>
                <w:b/>
              </w:rPr>
              <w:t>% dwellings with 1 car/van per dwelling</w:t>
            </w:r>
          </w:p>
        </w:tc>
        <w:tc>
          <w:tcPr>
            <w:tcW w:w="3019" w:type="dxa"/>
            <w:shd w:val="clear" w:color="auto" w:fill="C6D9F1" w:themeFill="text2" w:themeFillTint="33"/>
          </w:tcPr>
          <w:p w:rsidR="00E31561" w:rsidRPr="00786B1A" w:rsidRDefault="00E31561" w:rsidP="00EC5C2A">
            <w:pPr>
              <w:jc w:val="center"/>
              <w:rPr>
                <w:b/>
              </w:rPr>
            </w:pPr>
            <w:r w:rsidRPr="00786B1A">
              <w:rPr>
                <w:b/>
              </w:rPr>
              <w:t>% dwellings with 2 cars/vans per dwelling</w:t>
            </w:r>
          </w:p>
        </w:tc>
        <w:tc>
          <w:tcPr>
            <w:tcW w:w="2977" w:type="dxa"/>
            <w:shd w:val="clear" w:color="auto" w:fill="C6D9F1" w:themeFill="text2" w:themeFillTint="33"/>
          </w:tcPr>
          <w:p w:rsidR="00E31561" w:rsidRPr="00786B1A" w:rsidRDefault="00E31561" w:rsidP="00EC5C2A">
            <w:pPr>
              <w:jc w:val="center"/>
              <w:rPr>
                <w:b/>
              </w:rPr>
            </w:pPr>
            <w:r w:rsidRPr="00786B1A">
              <w:rPr>
                <w:b/>
              </w:rPr>
              <w:t>% dwellings with 3+ cars/vans</w:t>
            </w:r>
          </w:p>
        </w:tc>
      </w:tr>
      <w:tr w:rsidR="00E31561" w:rsidTr="00EC5C2A">
        <w:tc>
          <w:tcPr>
            <w:tcW w:w="2540" w:type="dxa"/>
          </w:tcPr>
          <w:p w:rsidR="00E31561" w:rsidRDefault="00E31561" w:rsidP="00EC5C2A"/>
        </w:tc>
        <w:tc>
          <w:tcPr>
            <w:tcW w:w="3065" w:type="dxa"/>
          </w:tcPr>
          <w:p w:rsidR="00E31561" w:rsidRDefault="00E31561" w:rsidP="00EC5C2A">
            <w:pPr>
              <w:jc w:val="center"/>
            </w:pPr>
          </w:p>
        </w:tc>
        <w:tc>
          <w:tcPr>
            <w:tcW w:w="2541" w:type="dxa"/>
          </w:tcPr>
          <w:p w:rsidR="00E31561" w:rsidRDefault="00E31561" w:rsidP="00EC5C2A">
            <w:pPr>
              <w:jc w:val="center"/>
            </w:pPr>
          </w:p>
        </w:tc>
        <w:tc>
          <w:tcPr>
            <w:tcW w:w="3019" w:type="dxa"/>
          </w:tcPr>
          <w:p w:rsidR="00E31561" w:rsidRDefault="00E31561" w:rsidP="00EC5C2A"/>
        </w:tc>
        <w:tc>
          <w:tcPr>
            <w:tcW w:w="2977" w:type="dxa"/>
          </w:tcPr>
          <w:p w:rsidR="00E31561" w:rsidRDefault="00E31561" w:rsidP="00EC5C2A">
            <w:pPr>
              <w:jc w:val="center"/>
            </w:pPr>
          </w:p>
        </w:tc>
      </w:tr>
      <w:tr w:rsidR="00E31561" w:rsidTr="00EC5C2A">
        <w:tc>
          <w:tcPr>
            <w:tcW w:w="2540" w:type="dxa"/>
          </w:tcPr>
          <w:p w:rsidR="00E31561" w:rsidRDefault="00E31561" w:rsidP="00EC5C2A">
            <w:r>
              <w:t>Abbey - Kenilworth</w:t>
            </w:r>
          </w:p>
        </w:tc>
        <w:tc>
          <w:tcPr>
            <w:tcW w:w="3065" w:type="dxa"/>
          </w:tcPr>
          <w:p w:rsidR="00E31561" w:rsidRPr="001B0034" w:rsidRDefault="00E31561" w:rsidP="00EC5C2A">
            <w:pPr>
              <w:jc w:val="center"/>
              <w:rPr>
                <w:color w:val="F79646" w:themeColor="accent6"/>
              </w:rPr>
            </w:pPr>
            <w:r w:rsidRPr="001B0034">
              <w:rPr>
                <w:color w:val="F79646" w:themeColor="accent6"/>
              </w:rPr>
              <w:t xml:space="preserve">15.44 </w:t>
            </w:r>
          </w:p>
        </w:tc>
        <w:tc>
          <w:tcPr>
            <w:tcW w:w="2541" w:type="dxa"/>
          </w:tcPr>
          <w:p w:rsidR="00E31561" w:rsidRPr="00DF72B8" w:rsidRDefault="00E31561" w:rsidP="00EC5C2A">
            <w:pPr>
              <w:jc w:val="center"/>
            </w:pPr>
            <w:r w:rsidRPr="00462B5A">
              <w:rPr>
                <w:color w:val="F79646" w:themeColor="accent6"/>
              </w:rPr>
              <w:t>40.65</w:t>
            </w:r>
          </w:p>
        </w:tc>
        <w:tc>
          <w:tcPr>
            <w:tcW w:w="3019" w:type="dxa"/>
          </w:tcPr>
          <w:p w:rsidR="00E31561" w:rsidRPr="00462B5A" w:rsidRDefault="00E31561" w:rsidP="00EC5C2A">
            <w:pPr>
              <w:jc w:val="center"/>
              <w:rPr>
                <w:color w:val="8064A2" w:themeColor="accent4"/>
              </w:rPr>
            </w:pPr>
            <w:r w:rsidRPr="00462B5A">
              <w:rPr>
                <w:color w:val="8064A2" w:themeColor="accent4"/>
              </w:rPr>
              <w:t>34.62</w:t>
            </w:r>
          </w:p>
        </w:tc>
        <w:tc>
          <w:tcPr>
            <w:tcW w:w="2977" w:type="dxa"/>
          </w:tcPr>
          <w:p w:rsidR="00E31561" w:rsidRDefault="00E31561" w:rsidP="00EC5C2A">
            <w:pPr>
              <w:jc w:val="center"/>
            </w:pPr>
            <w:r w:rsidRPr="00462B5A">
              <w:rPr>
                <w:color w:val="8064A2" w:themeColor="accent4"/>
              </w:rPr>
              <w:t>9.29</w:t>
            </w:r>
          </w:p>
        </w:tc>
      </w:tr>
      <w:tr w:rsidR="00E31561" w:rsidTr="00EC5C2A">
        <w:tc>
          <w:tcPr>
            <w:tcW w:w="2540" w:type="dxa"/>
          </w:tcPr>
          <w:p w:rsidR="00E31561" w:rsidRDefault="00E31561" w:rsidP="00EC5C2A">
            <w:r>
              <w:t>Arden</w:t>
            </w:r>
          </w:p>
        </w:tc>
        <w:tc>
          <w:tcPr>
            <w:tcW w:w="3065" w:type="dxa"/>
          </w:tcPr>
          <w:p w:rsidR="00E31561" w:rsidRPr="001B0034" w:rsidRDefault="00E31561" w:rsidP="00EC5C2A">
            <w:pPr>
              <w:jc w:val="center"/>
              <w:rPr>
                <w:color w:val="F79646" w:themeColor="accent6"/>
              </w:rPr>
            </w:pPr>
            <w:r w:rsidRPr="001B0034">
              <w:rPr>
                <w:color w:val="F79646" w:themeColor="accent6"/>
              </w:rPr>
              <w:t>5.37</w:t>
            </w:r>
          </w:p>
        </w:tc>
        <w:tc>
          <w:tcPr>
            <w:tcW w:w="2541" w:type="dxa"/>
          </w:tcPr>
          <w:p w:rsidR="00E31561" w:rsidRPr="00DF72B8" w:rsidRDefault="00E31561" w:rsidP="00EC5C2A">
            <w:pPr>
              <w:jc w:val="center"/>
            </w:pPr>
            <w:r w:rsidRPr="00462B5A">
              <w:rPr>
                <w:color w:val="F79646" w:themeColor="accent6"/>
              </w:rPr>
              <w:t>27.89</w:t>
            </w:r>
          </w:p>
        </w:tc>
        <w:tc>
          <w:tcPr>
            <w:tcW w:w="3019" w:type="dxa"/>
          </w:tcPr>
          <w:p w:rsidR="00E31561" w:rsidRPr="00462B5A" w:rsidRDefault="00E31561" w:rsidP="00EC5C2A">
            <w:pPr>
              <w:jc w:val="center"/>
              <w:rPr>
                <w:color w:val="8064A2" w:themeColor="accent4"/>
              </w:rPr>
            </w:pPr>
            <w:r w:rsidRPr="00462B5A">
              <w:rPr>
                <w:color w:val="8064A2" w:themeColor="accent4"/>
              </w:rPr>
              <w:t>43.88</w:t>
            </w:r>
          </w:p>
        </w:tc>
        <w:tc>
          <w:tcPr>
            <w:tcW w:w="2977" w:type="dxa"/>
          </w:tcPr>
          <w:p w:rsidR="00E31561" w:rsidRDefault="00E31561" w:rsidP="00EC5C2A">
            <w:pPr>
              <w:jc w:val="center"/>
            </w:pPr>
            <w:r w:rsidRPr="00462B5A">
              <w:rPr>
                <w:color w:val="8064A2" w:themeColor="accent4"/>
              </w:rPr>
              <w:t>22.86</w:t>
            </w:r>
          </w:p>
        </w:tc>
      </w:tr>
      <w:tr w:rsidR="00E31561" w:rsidTr="00EC5C2A">
        <w:tc>
          <w:tcPr>
            <w:tcW w:w="2540" w:type="dxa"/>
          </w:tcPr>
          <w:p w:rsidR="00E31561" w:rsidRDefault="00E31561" w:rsidP="00EC5C2A">
            <w:r>
              <w:t>Aylesford</w:t>
            </w:r>
          </w:p>
        </w:tc>
        <w:tc>
          <w:tcPr>
            <w:tcW w:w="3065" w:type="dxa"/>
          </w:tcPr>
          <w:p w:rsidR="00E31561" w:rsidRPr="001B0034" w:rsidRDefault="00E31561" w:rsidP="00EC5C2A">
            <w:pPr>
              <w:jc w:val="center"/>
              <w:rPr>
                <w:color w:val="F79646" w:themeColor="accent6"/>
              </w:rPr>
            </w:pPr>
            <w:r w:rsidRPr="001B0034">
              <w:rPr>
                <w:color w:val="F79646" w:themeColor="accent6"/>
              </w:rPr>
              <w:t>16.97</w:t>
            </w:r>
          </w:p>
        </w:tc>
        <w:tc>
          <w:tcPr>
            <w:tcW w:w="2541" w:type="dxa"/>
          </w:tcPr>
          <w:p w:rsidR="00E31561" w:rsidRPr="00DF72B8" w:rsidRDefault="00E31561" w:rsidP="00EC5C2A">
            <w:pPr>
              <w:jc w:val="center"/>
            </w:pPr>
            <w:r w:rsidRPr="00462B5A">
              <w:rPr>
                <w:color w:val="8064A2" w:themeColor="accent4"/>
              </w:rPr>
              <w:t>42.99</w:t>
            </w:r>
          </w:p>
        </w:tc>
        <w:tc>
          <w:tcPr>
            <w:tcW w:w="3019" w:type="dxa"/>
          </w:tcPr>
          <w:p w:rsidR="00E31561" w:rsidRPr="00462B5A" w:rsidRDefault="00E31561" w:rsidP="00EC5C2A">
            <w:pPr>
              <w:jc w:val="center"/>
              <w:rPr>
                <w:color w:val="8064A2" w:themeColor="accent4"/>
              </w:rPr>
            </w:pPr>
            <w:r w:rsidRPr="00462B5A">
              <w:rPr>
                <w:color w:val="8064A2" w:themeColor="accent4"/>
              </w:rPr>
              <w:t>33.56</w:t>
            </w:r>
          </w:p>
        </w:tc>
        <w:tc>
          <w:tcPr>
            <w:tcW w:w="2977" w:type="dxa"/>
          </w:tcPr>
          <w:p w:rsidR="00E31561" w:rsidRDefault="00E31561" w:rsidP="00EC5C2A">
            <w:pPr>
              <w:jc w:val="center"/>
            </w:pPr>
            <w:r w:rsidRPr="00462B5A">
              <w:rPr>
                <w:color w:val="F79646" w:themeColor="accent6"/>
              </w:rPr>
              <w:t>6.61</w:t>
            </w:r>
          </w:p>
        </w:tc>
      </w:tr>
      <w:tr w:rsidR="00E31561" w:rsidTr="00EC5C2A">
        <w:tc>
          <w:tcPr>
            <w:tcW w:w="2540" w:type="dxa"/>
          </w:tcPr>
          <w:p w:rsidR="00E31561" w:rsidRDefault="00E31561" w:rsidP="00EC5C2A">
            <w:r>
              <w:t xml:space="preserve">Bishops </w:t>
            </w:r>
            <w:proofErr w:type="spellStart"/>
            <w:r>
              <w:t>Tachbrook</w:t>
            </w:r>
            <w:proofErr w:type="spellEnd"/>
          </w:p>
        </w:tc>
        <w:tc>
          <w:tcPr>
            <w:tcW w:w="3065" w:type="dxa"/>
          </w:tcPr>
          <w:p w:rsidR="00E31561" w:rsidRPr="001B0034" w:rsidRDefault="00E307C8" w:rsidP="00EC5C2A">
            <w:pPr>
              <w:jc w:val="center"/>
              <w:rPr>
                <w:color w:val="F79646" w:themeColor="accent6"/>
              </w:rPr>
            </w:pPr>
            <w:r w:rsidRPr="001B0034">
              <w:rPr>
                <w:color w:val="F79646" w:themeColor="accent6"/>
              </w:rPr>
              <w:t>7.84</w:t>
            </w:r>
          </w:p>
        </w:tc>
        <w:tc>
          <w:tcPr>
            <w:tcW w:w="2541" w:type="dxa"/>
          </w:tcPr>
          <w:p w:rsidR="00E31561" w:rsidRPr="00DF72B8" w:rsidRDefault="00E307C8" w:rsidP="00EC5C2A">
            <w:pPr>
              <w:jc w:val="center"/>
            </w:pPr>
            <w:r w:rsidRPr="00631AC3">
              <w:rPr>
                <w:color w:val="F79646" w:themeColor="accent6"/>
              </w:rPr>
              <w:t>37.32</w:t>
            </w:r>
          </w:p>
        </w:tc>
        <w:tc>
          <w:tcPr>
            <w:tcW w:w="3019" w:type="dxa"/>
          </w:tcPr>
          <w:p w:rsidR="00E31561" w:rsidRDefault="00E307C8" w:rsidP="00EC5C2A">
            <w:pPr>
              <w:jc w:val="center"/>
            </w:pPr>
            <w:r w:rsidRPr="00631AC3">
              <w:rPr>
                <w:color w:val="8064A2" w:themeColor="accent4"/>
              </w:rPr>
              <w:t>42.70</w:t>
            </w:r>
          </w:p>
        </w:tc>
        <w:tc>
          <w:tcPr>
            <w:tcW w:w="2977" w:type="dxa"/>
          </w:tcPr>
          <w:p w:rsidR="00E31561" w:rsidRDefault="00E307C8" w:rsidP="00EC5C2A">
            <w:pPr>
              <w:jc w:val="center"/>
            </w:pPr>
            <w:r w:rsidRPr="00631AC3">
              <w:rPr>
                <w:color w:val="8064A2" w:themeColor="accent4"/>
              </w:rPr>
              <w:t>9.21</w:t>
            </w:r>
          </w:p>
        </w:tc>
      </w:tr>
      <w:tr w:rsidR="00E31561" w:rsidTr="00EC5C2A">
        <w:tc>
          <w:tcPr>
            <w:tcW w:w="2540" w:type="dxa"/>
          </w:tcPr>
          <w:p w:rsidR="00E31561" w:rsidRDefault="00E31561" w:rsidP="00EC5C2A">
            <w:r>
              <w:t>Brunswick</w:t>
            </w:r>
          </w:p>
        </w:tc>
        <w:tc>
          <w:tcPr>
            <w:tcW w:w="3065" w:type="dxa"/>
          </w:tcPr>
          <w:p w:rsidR="00E31561" w:rsidRPr="00DF72B8" w:rsidRDefault="00E31561" w:rsidP="00EC5C2A">
            <w:pPr>
              <w:jc w:val="center"/>
            </w:pPr>
            <w:r w:rsidRPr="001B0034">
              <w:rPr>
                <w:color w:val="8064A2" w:themeColor="accent4"/>
              </w:rPr>
              <w:t>36.87</w:t>
            </w:r>
          </w:p>
        </w:tc>
        <w:tc>
          <w:tcPr>
            <w:tcW w:w="2541" w:type="dxa"/>
          </w:tcPr>
          <w:p w:rsidR="00E31561" w:rsidRPr="00DF72B8" w:rsidRDefault="00E31561" w:rsidP="00EC5C2A">
            <w:pPr>
              <w:jc w:val="center"/>
            </w:pPr>
            <w:r w:rsidRPr="00462B5A">
              <w:rPr>
                <w:color w:val="F79646" w:themeColor="accent6"/>
              </w:rPr>
              <w:t>40.44</w:t>
            </w:r>
          </w:p>
        </w:tc>
        <w:tc>
          <w:tcPr>
            <w:tcW w:w="3019" w:type="dxa"/>
          </w:tcPr>
          <w:p w:rsidR="00E31561" w:rsidRDefault="00E31561" w:rsidP="00EC5C2A">
            <w:pPr>
              <w:jc w:val="center"/>
            </w:pPr>
            <w:r w:rsidRPr="00462B5A">
              <w:rPr>
                <w:color w:val="F79646" w:themeColor="accent6"/>
              </w:rPr>
              <w:t>16.91</w:t>
            </w:r>
          </w:p>
        </w:tc>
        <w:tc>
          <w:tcPr>
            <w:tcW w:w="2977" w:type="dxa"/>
          </w:tcPr>
          <w:p w:rsidR="00E31561" w:rsidRDefault="00E31561" w:rsidP="00EC5C2A">
            <w:pPr>
              <w:jc w:val="center"/>
            </w:pPr>
            <w:r w:rsidRPr="00462B5A">
              <w:rPr>
                <w:color w:val="F79646" w:themeColor="accent6"/>
              </w:rPr>
              <w:t>5.87</w:t>
            </w:r>
          </w:p>
        </w:tc>
      </w:tr>
      <w:tr w:rsidR="00E31561" w:rsidTr="00EC5C2A">
        <w:tc>
          <w:tcPr>
            <w:tcW w:w="2540" w:type="dxa"/>
          </w:tcPr>
          <w:p w:rsidR="00E31561" w:rsidRDefault="00E31561" w:rsidP="00EC5C2A">
            <w:proofErr w:type="spellStart"/>
            <w:r>
              <w:t>Budbrooke</w:t>
            </w:r>
            <w:proofErr w:type="spellEnd"/>
          </w:p>
        </w:tc>
        <w:tc>
          <w:tcPr>
            <w:tcW w:w="3065" w:type="dxa"/>
          </w:tcPr>
          <w:p w:rsidR="00E31561" w:rsidRPr="00DF72B8" w:rsidRDefault="00E31561" w:rsidP="00EC5C2A">
            <w:pPr>
              <w:jc w:val="center"/>
            </w:pPr>
            <w:r w:rsidRPr="001B0034">
              <w:rPr>
                <w:color w:val="F79646" w:themeColor="accent6"/>
              </w:rPr>
              <w:t>5.18</w:t>
            </w:r>
          </w:p>
        </w:tc>
        <w:tc>
          <w:tcPr>
            <w:tcW w:w="2541" w:type="dxa"/>
          </w:tcPr>
          <w:p w:rsidR="00E31561" w:rsidRPr="00DF72B8" w:rsidRDefault="00E31561" w:rsidP="00EC5C2A">
            <w:pPr>
              <w:jc w:val="center"/>
            </w:pPr>
            <w:r w:rsidRPr="00462B5A">
              <w:rPr>
                <w:color w:val="F79646" w:themeColor="accent6"/>
              </w:rPr>
              <w:t>35.04</w:t>
            </w:r>
          </w:p>
        </w:tc>
        <w:tc>
          <w:tcPr>
            <w:tcW w:w="3019" w:type="dxa"/>
          </w:tcPr>
          <w:p w:rsidR="00E31561" w:rsidRDefault="00E31561" w:rsidP="00EC5C2A">
            <w:pPr>
              <w:jc w:val="center"/>
            </w:pPr>
            <w:r w:rsidRPr="00462B5A">
              <w:rPr>
                <w:color w:val="8064A2" w:themeColor="accent4"/>
              </w:rPr>
              <w:t>44.70</w:t>
            </w:r>
          </w:p>
        </w:tc>
        <w:tc>
          <w:tcPr>
            <w:tcW w:w="2977" w:type="dxa"/>
          </w:tcPr>
          <w:p w:rsidR="00E31561" w:rsidRDefault="00E31561" w:rsidP="00EC5C2A">
            <w:pPr>
              <w:jc w:val="center"/>
            </w:pPr>
            <w:r w:rsidRPr="00462B5A">
              <w:rPr>
                <w:color w:val="8064A2" w:themeColor="accent4"/>
              </w:rPr>
              <w:t>15.09</w:t>
            </w:r>
          </w:p>
        </w:tc>
      </w:tr>
      <w:tr w:rsidR="00E31561" w:rsidTr="00EC5C2A">
        <w:tc>
          <w:tcPr>
            <w:tcW w:w="2540" w:type="dxa"/>
          </w:tcPr>
          <w:p w:rsidR="00E31561" w:rsidRDefault="00E31561" w:rsidP="00EC5C2A">
            <w:r>
              <w:t>Clarendon</w:t>
            </w:r>
          </w:p>
        </w:tc>
        <w:tc>
          <w:tcPr>
            <w:tcW w:w="3065" w:type="dxa"/>
          </w:tcPr>
          <w:p w:rsidR="00E31561" w:rsidRPr="001B0034" w:rsidRDefault="00E31561" w:rsidP="00EC5C2A">
            <w:pPr>
              <w:jc w:val="center"/>
              <w:rPr>
                <w:color w:val="8064A2" w:themeColor="accent4"/>
              </w:rPr>
            </w:pPr>
            <w:r w:rsidRPr="001B0034">
              <w:rPr>
                <w:color w:val="8064A2" w:themeColor="accent4"/>
              </w:rPr>
              <w:t>30.97</w:t>
            </w:r>
          </w:p>
        </w:tc>
        <w:tc>
          <w:tcPr>
            <w:tcW w:w="2541" w:type="dxa"/>
          </w:tcPr>
          <w:p w:rsidR="00E31561" w:rsidRPr="00462B5A" w:rsidRDefault="00E31561" w:rsidP="00EC5C2A">
            <w:pPr>
              <w:jc w:val="center"/>
              <w:rPr>
                <w:color w:val="8064A2" w:themeColor="accent4"/>
              </w:rPr>
            </w:pPr>
            <w:r w:rsidRPr="00462B5A">
              <w:rPr>
                <w:color w:val="8064A2" w:themeColor="accent4"/>
              </w:rPr>
              <w:t>43.93</w:t>
            </w:r>
          </w:p>
        </w:tc>
        <w:tc>
          <w:tcPr>
            <w:tcW w:w="3019" w:type="dxa"/>
          </w:tcPr>
          <w:p w:rsidR="00E31561" w:rsidRPr="00462B5A" w:rsidRDefault="00E31561" w:rsidP="00EC5C2A">
            <w:pPr>
              <w:jc w:val="center"/>
              <w:rPr>
                <w:color w:val="F79646" w:themeColor="accent6"/>
              </w:rPr>
            </w:pPr>
            <w:r w:rsidRPr="00462B5A">
              <w:rPr>
                <w:color w:val="F79646" w:themeColor="accent6"/>
              </w:rPr>
              <w:t>19.95</w:t>
            </w:r>
          </w:p>
        </w:tc>
        <w:tc>
          <w:tcPr>
            <w:tcW w:w="2977" w:type="dxa"/>
          </w:tcPr>
          <w:p w:rsidR="00E31561" w:rsidRPr="00462B5A" w:rsidRDefault="00E31561" w:rsidP="00EC5C2A">
            <w:pPr>
              <w:jc w:val="center"/>
              <w:rPr>
                <w:color w:val="F79646" w:themeColor="accent6"/>
              </w:rPr>
            </w:pPr>
            <w:r w:rsidRPr="00462B5A">
              <w:rPr>
                <w:color w:val="F79646" w:themeColor="accent6"/>
              </w:rPr>
              <w:t>5.18</w:t>
            </w:r>
          </w:p>
        </w:tc>
      </w:tr>
      <w:tr w:rsidR="00E31561" w:rsidTr="00EC5C2A">
        <w:tc>
          <w:tcPr>
            <w:tcW w:w="2540" w:type="dxa"/>
          </w:tcPr>
          <w:p w:rsidR="00E31561" w:rsidRDefault="00E31561" w:rsidP="00EC5C2A">
            <w:r>
              <w:t>Crown</w:t>
            </w:r>
          </w:p>
        </w:tc>
        <w:tc>
          <w:tcPr>
            <w:tcW w:w="3065" w:type="dxa"/>
          </w:tcPr>
          <w:p w:rsidR="00E31561" w:rsidRPr="001B0034" w:rsidRDefault="00E31561" w:rsidP="00EC5C2A">
            <w:pPr>
              <w:jc w:val="center"/>
              <w:rPr>
                <w:color w:val="8064A2" w:themeColor="accent4"/>
              </w:rPr>
            </w:pPr>
            <w:r w:rsidRPr="001B0034">
              <w:rPr>
                <w:color w:val="8064A2" w:themeColor="accent4"/>
              </w:rPr>
              <w:t>30.64</w:t>
            </w:r>
          </w:p>
        </w:tc>
        <w:tc>
          <w:tcPr>
            <w:tcW w:w="2541" w:type="dxa"/>
          </w:tcPr>
          <w:p w:rsidR="00E31561" w:rsidRPr="00462B5A" w:rsidRDefault="00E31561" w:rsidP="00EC5C2A">
            <w:pPr>
              <w:jc w:val="center"/>
              <w:rPr>
                <w:color w:val="8064A2" w:themeColor="accent4"/>
              </w:rPr>
            </w:pPr>
            <w:r w:rsidRPr="00462B5A">
              <w:rPr>
                <w:color w:val="8064A2" w:themeColor="accent4"/>
              </w:rPr>
              <w:t>42.04</w:t>
            </w:r>
          </w:p>
        </w:tc>
        <w:tc>
          <w:tcPr>
            <w:tcW w:w="3019" w:type="dxa"/>
          </w:tcPr>
          <w:p w:rsidR="00E31561" w:rsidRPr="00462B5A" w:rsidRDefault="00E31561" w:rsidP="00EC5C2A">
            <w:pPr>
              <w:jc w:val="center"/>
              <w:rPr>
                <w:color w:val="F79646" w:themeColor="accent6"/>
              </w:rPr>
            </w:pPr>
            <w:r w:rsidRPr="00462B5A">
              <w:rPr>
                <w:color w:val="F79646" w:themeColor="accent6"/>
              </w:rPr>
              <w:t>21.33</w:t>
            </w:r>
          </w:p>
        </w:tc>
        <w:tc>
          <w:tcPr>
            <w:tcW w:w="2977" w:type="dxa"/>
          </w:tcPr>
          <w:p w:rsidR="00E31561" w:rsidRPr="00462B5A" w:rsidRDefault="00E31561" w:rsidP="00EC5C2A">
            <w:pPr>
              <w:jc w:val="center"/>
              <w:rPr>
                <w:color w:val="F79646" w:themeColor="accent6"/>
              </w:rPr>
            </w:pPr>
            <w:r w:rsidRPr="00462B5A">
              <w:rPr>
                <w:color w:val="F79646" w:themeColor="accent6"/>
              </w:rPr>
              <w:t>5.99</w:t>
            </w:r>
          </w:p>
        </w:tc>
      </w:tr>
      <w:tr w:rsidR="00E31561" w:rsidTr="00EC5C2A">
        <w:tc>
          <w:tcPr>
            <w:tcW w:w="2540" w:type="dxa"/>
          </w:tcPr>
          <w:p w:rsidR="00E31561" w:rsidRDefault="00E31561" w:rsidP="00EC5C2A">
            <w:proofErr w:type="spellStart"/>
            <w:r>
              <w:t>Emscote</w:t>
            </w:r>
            <w:proofErr w:type="spellEnd"/>
          </w:p>
        </w:tc>
        <w:tc>
          <w:tcPr>
            <w:tcW w:w="3065" w:type="dxa"/>
          </w:tcPr>
          <w:p w:rsidR="00E31561" w:rsidRPr="001B0034" w:rsidRDefault="00E31561" w:rsidP="00EC5C2A">
            <w:pPr>
              <w:jc w:val="center"/>
              <w:rPr>
                <w:color w:val="8064A2" w:themeColor="accent4"/>
              </w:rPr>
            </w:pPr>
            <w:r w:rsidRPr="001B0034">
              <w:rPr>
                <w:color w:val="8064A2" w:themeColor="accent4"/>
              </w:rPr>
              <w:t>22.91</w:t>
            </w:r>
          </w:p>
        </w:tc>
        <w:tc>
          <w:tcPr>
            <w:tcW w:w="2541" w:type="dxa"/>
          </w:tcPr>
          <w:p w:rsidR="00E31561" w:rsidRPr="00462B5A" w:rsidRDefault="00E31561" w:rsidP="00EC5C2A">
            <w:pPr>
              <w:jc w:val="center"/>
              <w:rPr>
                <w:color w:val="8064A2" w:themeColor="accent4"/>
              </w:rPr>
            </w:pPr>
            <w:r w:rsidRPr="00462B5A">
              <w:rPr>
                <w:color w:val="8064A2" w:themeColor="accent4"/>
              </w:rPr>
              <w:t>45.29</w:t>
            </w:r>
          </w:p>
        </w:tc>
        <w:tc>
          <w:tcPr>
            <w:tcW w:w="3019" w:type="dxa"/>
          </w:tcPr>
          <w:p w:rsidR="00E31561" w:rsidRPr="00462B5A" w:rsidRDefault="00E31561" w:rsidP="00EC5C2A">
            <w:pPr>
              <w:jc w:val="center"/>
              <w:rPr>
                <w:color w:val="F79646" w:themeColor="accent6"/>
              </w:rPr>
            </w:pPr>
            <w:r w:rsidRPr="00462B5A">
              <w:rPr>
                <w:color w:val="F79646" w:themeColor="accent6"/>
              </w:rPr>
              <w:t>26.14</w:t>
            </w:r>
          </w:p>
        </w:tc>
        <w:tc>
          <w:tcPr>
            <w:tcW w:w="2977" w:type="dxa"/>
          </w:tcPr>
          <w:p w:rsidR="00E31561" w:rsidRPr="00462B5A" w:rsidRDefault="00E31561" w:rsidP="00EC5C2A">
            <w:pPr>
              <w:jc w:val="center"/>
              <w:rPr>
                <w:color w:val="F79646" w:themeColor="accent6"/>
              </w:rPr>
            </w:pPr>
            <w:r w:rsidRPr="00462B5A">
              <w:rPr>
                <w:color w:val="F79646" w:themeColor="accent6"/>
              </w:rPr>
              <w:t>5.67</w:t>
            </w:r>
          </w:p>
        </w:tc>
      </w:tr>
      <w:tr w:rsidR="00E31561" w:rsidTr="00EC5C2A">
        <w:tc>
          <w:tcPr>
            <w:tcW w:w="2540" w:type="dxa"/>
          </w:tcPr>
          <w:p w:rsidR="00E31561" w:rsidRDefault="00E31561" w:rsidP="00EC5C2A">
            <w:r>
              <w:t>Leam</w:t>
            </w:r>
          </w:p>
        </w:tc>
        <w:tc>
          <w:tcPr>
            <w:tcW w:w="3065" w:type="dxa"/>
          </w:tcPr>
          <w:p w:rsidR="00E31561" w:rsidRPr="001B0034" w:rsidRDefault="00E31561" w:rsidP="00EC5C2A">
            <w:pPr>
              <w:jc w:val="center"/>
              <w:rPr>
                <w:color w:val="8064A2" w:themeColor="accent4"/>
              </w:rPr>
            </w:pPr>
            <w:r w:rsidRPr="001B0034">
              <w:rPr>
                <w:color w:val="8064A2" w:themeColor="accent4"/>
              </w:rPr>
              <w:t>27.55</w:t>
            </w:r>
          </w:p>
        </w:tc>
        <w:tc>
          <w:tcPr>
            <w:tcW w:w="2541" w:type="dxa"/>
          </w:tcPr>
          <w:p w:rsidR="00E31561" w:rsidRPr="00462B5A" w:rsidRDefault="00E31561" w:rsidP="00EC5C2A">
            <w:pPr>
              <w:jc w:val="center"/>
              <w:rPr>
                <w:color w:val="8064A2" w:themeColor="accent4"/>
              </w:rPr>
            </w:pPr>
            <w:r w:rsidRPr="00462B5A">
              <w:rPr>
                <w:color w:val="8064A2" w:themeColor="accent4"/>
              </w:rPr>
              <w:t>44.51</w:t>
            </w:r>
          </w:p>
        </w:tc>
        <w:tc>
          <w:tcPr>
            <w:tcW w:w="3019" w:type="dxa"/>
          </w:tcPr>
          <w:p w:rsidR="00E31561" w:rsidRDefault="00E31561" w:rsidP="00EC5C2A">
            <w:pPr>
              <w:jc w:val="center"/>
            </w:pPr>
            <w:r w:rsidRPr="00462B5A">
              <w:rPr>
                <w:color w:val="F79646" w:themeColor="accent6"/>
              </w:rPr>
              <w:t>21.79</w:t>
            </w:r>
          </w:p>
        </w:tc>
        <w:tc>
          <w:tcPr>
            <w:tcW w:w="2977" w:type="dxa"/>
          </w:tcPr>
          <w:p w:rsidR="00E31561" w:rsidRPr="00462B5A" w:rsidRDefault="00E31561" w:rsidP="00EC5C2A">
            <w:pPr>
              <w:jc w:val="center"/>
              <w:rPr>
                <w:color w:val="F79646" w:themeColor="accent6"/>
              </w:rPr>
            </w:pPr>
            <w:r w:rsidRPr="00462B5A">
              <w:rPr>
                <w:color w:val="F79646" w:themeColor="accent6"/>
              </w:rPr>
              <w:t>6.15</w:t>
            </w:r>
          </w:p>
        </w:tc>
      </w:tr>
      <w:tr w:rsidR="00E31561" w:rsidTr="00EC5C2A">
        <w:tc>
          <w:tcPr>
            <w:tcW w:w="2540" w:type="dxa"/>
          </w:tcPr>
          <w:p w:rsidR="00E31561" w:rsidRDefault="00E31561" w:rsidP="00EC5C2A">
            <w:r>
              <w:t>Manor</w:t>
            </w:r>
          </w:p>
        </w:tc>
        <w:tc>
          <w:tcPr>
            <w:tcW w:w="3065" w:type="dxa"/>
          </w:tcPr>
          <w:p w:rsidR="00E31561" w:rsidRPr="001B0034" w:rsidRDefault="00E31561" w:rsidP="00EC5C2A">
            <w:pPr>
              <w:jc w:val="center"/>
              <w:rPr>
                <w:color w:val="F79646" w:themeColor="accent6"/>
              </w:rPr>
            </w:pPr>
            <w:r w:rsidRPr="001B0034">
              <w:rPr>
                <w:color w:val="F79646" w:themeColor="accent6"/>
              </w:rPr>
              <w:t>9.28</w:t>
            </w:r>
          </w:p>
        </w:tc>
        <w:tc>
          <w:tcPr>
            <w:tcW w:w="2541" w:type="dxa"/>
          </w:tcPr>
          <w:p w:rsidR="00E31561" w:rsidRPr="00462B5A" w:rsidRDefault="00E31561" w:rsidP="00EC5C2A">
            <w:pPr>
              <w:jc w:val="center"/>
              <w:rPr>
                <w:color w:val="F79646" w:themeColor="accent6"/>
              </w:rPr>
            </w:pPr>
            <w:r w:rsidRPr="00462B5A">
              <w:rPr>
                <w:color w:val="F79646" w:themeColor="accent6"/>
              </w:rPr>
              <w:t>37.15</w:t>
            </w:r>
          </w:p>
        </w:tc>
        <w:tc>
          <w:tcPr>
            <w:tcW w:w="3019" w:type="dxa"/>
          </w:tcPr>
          <w:p w:rsidR="00E31561" w:rsidRDefault="00E31561" w:rsidP="00EC5C2A">
            <w:pPr>
              <w:jc w:val="center"/>
            </w:pPr>
            <w:r w:rsidRPr="00462B5A">
              <w:rPr>
                <w:color w:val="8064A2" w:themeColor="accent4"/>
              </w:rPr>
              <w:t>42.16</w:t>
            </w:r>
          </w:p>
        </w:tc>
        <w:tc>
          <w:tcPr>
            <w:tcW w:w="2977" w:type="dxa"/>
          </w:tcPr>
          <w:p w:rsidR="00E31561" w:rsidRDefault="00E31561" w:rsidP="00EC5C2A">
            <w:pPr>
              <w:jc w:val="center"/>
            </w:pPr>
            <w:r w:rsidRPr="00462B5A">
              <w:rPr>
                <w:color w:val="8064A2" w:themeColor="accent4"/>
              </w:rPr>
              <w:t>11.41</w:t>
            </w:r>
          </w:p>
        </w:tc>
      </w:tr>
      <w:tr w:rsidR="00E31561" w:rsidTr="00EC5C2A">
        <w:tc>
          <w:tcPr>
            <w:tcW w:w="2540" w:type="dxa"/>
          </w:tcPr>
          <w:p w:rsidR="00E31561" w:rsidRDefault="00E31561" w:rsidP="00EC5C2A">
            <w:proofErr w:type="spellStart"/>
            <w:r>
              <w:t>Milverton</w:t>
            </w:r>
            <w:proofErr w:type="spellEnd"/>
          </w:p>
        </w:tc>
        <w:tc>
          <w:tcPr>
            <w:tcW w:w="3065" w:type="dxa"/>
          </w:tcPr>
          <w:p w:rsidR="00E31561" w:rsidRPr="001B0034" w:rsidRDefault="00E31561" w:rsidP="00EC5C2A">
            <w:pPr>
              <w:jc w:val="center"/>
              <w:rPr>
                <w:color w:val="F79646" w:themeColor="accent6"/>
              </w:rPr>
            </w:pPr>
            <w:r w:rsidRPr="001B0034">
              <w:rPr>
                <w:color w:val="F79646" w:themeColor="accent6"/>
              </w:rPr>
              <w:t>16.65</w:t>
            </w:r>
          </w:p>
        </w:tc>
        <w:tc>
          <w:tcPr>
            <w:tcW w:w="2541" w:type="dxa"/>
          </w:tcPr>
          <w:p w:rsidR="00E31561" w:rsidRPr="00462B5A" w:rsidRDefault="00E31561" w:rsidP="00EC5C2A">
            <w:pPr>
              <w:jc w:val="center"/>
              <w:rPr>
                <w:color w:val="F79646" w:themeColor="accent6"/>
              </w:rPr>
            </w:pPr>
            <w:r w:rsidRPr="00462B5A">
              <w:rPr>
                <w:color w:val="F79646" w:themeColor="accent6"/>
              </w:rPr>
              <w:t>40.06</w:t>
            </w:r>
          </w:p>
        </w:tc>
        <w:tc>
          <w:tcPr>
            <w:tcW w:w="3019" w:type="dxa"/>
          </w:tcPr>
          <w:p w:rsidR="00E31561" w:rsidRPr="00462B5A" w:rsidRDefault="00E31561" w:rsidP="00EC5C2A">
            <w:pPr>
              <w:jc w:val="center"/>
              <w:rPr>
                <w:color w:val="8064A2" w:themeColor="accent4"/>
              </w:rPr>
            </w:pPr>
            <w:r w:rsidRPr="00462B5A">
              <w:rPr>
                <w:color w:val="8064A2" w:themeColor="accent4"/>
              </w:rPr>
              <w:t>35.12</w:t>
            </w:r>
          </w:p>
        </w:tc>
        <w:tc>
          <w:tcPr>
            <w:tcW w:w="2977" w:type="dxa"/>
          </w:tcPr>
          <w:p w:rsidR="00E31561" w:rsidRDefault="00E31561" w:rsidP="00EC5C2A">
            <w:pPr>
              <w:jc w:val="center"/>
            </w:pPr>
            <w:r w:rsidRPr="00462B5A">
              <w:rPr>
                <w:color w:val="F79646" w:themeColor="accent6"/>
              </w:rPr>
              <w:t>8.17</w:t>
            </w:r>
          </w:p>
        </w:tc>
      </w:tr>
      <w:tr w:rsidR="00E31561" w:rsidTr="00EC5C2A">
        <w:tc>
          <w:tcPr>
            <w:tcW w:w="2540" w:type="dxa"/>
          </w:tcPr>
          <w:p w:rsidR="00E31561" w:rsidRDefault="00E31561" w:rsidP="00EC5C2A">
            <w:r>
              <w:t>Myton &amp;Heathcote</w:t>
            </w:r>
          </w:p>
        </w:tc>
        <w:tc>
          <w:tcPr>
            <w:tcW w:w="3065" w:type="dxa"/>
          </w:tcPr>
          <w:p w:rsidR="00E31561" w:rsidRPr="001B0034" w:rsidRDefault="00E31561" w:rsidP="00EC5C2A">
            <w:pPr>
              <w:jc w:val="center"/>
              <w:rPr>
                <w:color w:val="F79646" w:themeColor="accent6"/>
              </w:rPr>
            </w:pPr>
            <w:r w:rsidRPr="001B0034">
              <w:rPr>
                <w:color w:val="F79646" w:themeColor="accent6"/>
              </w:rPr>
              <w:t>6.43</w:t>
            </w:r>
          </w:p>
        </w:tc>
        <w:tc>
          <w:tcPr>
            <w:tcW w:w="2541" w:type="dxa"/>
          </w:tcPr>
          <w:p w:rsidR="00E31561" w:rsidRPr="00DF72B8" w:rsidRDefault="00E31561" w:rsidP="00EC5C2A">
            <w:pPr>
              <w:jc w:val="center"/>
            </w:pPr>
            <w:r w:rsidRPr="00462B5A">
              <w:rPr>
                <w:color w:val="F79646" w:themeColor="accent6"/>
              </w:rPr>
              <w:t>38.31</w:t>
            </w:r>
          </w:p>
        </w:tc>
        <w:tc>
          <w:tcPr>
            <w:tcW w:w="3019" w:type="dxa"/>
          </w:tcPr>
          <w:p w:rsidR="00E31561" w:rsidRPr="00462B5A" w:rsidRDefault="00E31561" w:rsidP="00EC5C2A">
            <w:pPr>
              <w:jc w:val="center"/>
              <w:rPr>
                <w:color w:val="8064A2" w:themeColor="accent4"/>
              </w:rPr>
            </w:pPr>
            <w:r w:rsidRPr="00462B5A">
              <w:rPr>
                <w:color w:val="8064A2" w:themeColor="accent4"/>
              </w:rPr>
              <w:t>43.91</w:t>
            </w:r>
          </w:p>
        </w:tc>
        <w:tc>
          <w:tcPr>
            <w:tcW w:w="2977" w:type="dxa"/>
          </w:tcPr>
          <w:p w:rsidR="00E31561" w:rsidRDefault="00E31561" w:rsidP="00EC5C2A">
            <w:pPr>
              <w:jc w:val="center"/>
            </w:pPr>
            <w:r w:rsidRPr="00462B5A">
              <w:rPr>
                <w:color w:val="8064A2" w:themeColor="accent4"/>
              </w:rPr>
              <w:t>11.39</w:t>
            </w:r>
          </w:p>
        </w:tc>
      </w:tr>
      <w:tr w:rsidR="00E31561" w:rsidTr="00EC5C2A">
        <w:tc>
          <w:tcPr>
            <w:tcW w:w="2540" w:type="dxa"/>
          </w:tcPr>
          <w:p w:rsidR="00E31561" w:rsidRDefault="00E31561" w:rsidP="00EC5C2A">
            <w:r>
              <w:t>Newbold</w:t>
            </w:r>
          </w:p>
        </w:tc>
        <w:tc>
          <w:tcPr>
            <w:tcW w:w="3065" w:type="dxa"/>
          </w:tcPr>
          <w:p w:rsidR="00E31561" w:rsidRPr="00DF72B8" w:rsidRDefault="00E31561" w:rsidP="00EC5C2A">
            <w:pPr>
              <w:jc w:val="center"/>
            </w:pPr>
            <w:r w:rsidRPr="001B0034">
              <w:rPr>
                <w:color w:val="8064A2" w:themeColor="accent4"/>
              </w:rPr>
              <w:t>21.72</w:t>
            </w:r>
          </w:p>
        </w:tc>
        <w:tc>
          <w:tcPr>
            <w:tcW w:w="2541" w:type="dxa"/>
          </w:tcPr>
          <w:p w:rsidR="00E31561" w:rsidRPr="00DF72B8" w:rsidRDefault="00E31561" w:rsidP="00EC5C2A">
            <w:pPr>
              <w:jc w:val="center"/>
            </w:pPr>
            <w:r w:rsidRPr="00462B5A">
              <w:rPr>
                <w:color w:val="8064A2" w:themeColor="accent4"/>
              </w:rPr>
              <w:t>42.86</w:t>
            </w:r>
          </w:p>
        </w:tc>
        <w:tc>
          <w:tcPr>
            <w:tcW w:w="3019" w:type="dxa"/>
          </w:tcPr>
          <w:p w:rsidR="00E31561" w:rsidRDefault="00E31561" w:rsidP="00EC5C2A">
            <w:pPr>
              <w:jc w:val="center"/>
            </w:pPr>
            <w:r w:rsidRPr="00462B5A">
              <w:rPr>
                <w:color w:val="F79646" w:themeColor="accent6"/>
              </w:rPr>
              <w:t>28.21</w:t>
            </w:r>
          </w:p>
        </w:tc>
        <w:tc>
          <w:tcPr>
            <w:tcW w:w="2977" w:type="dxa"/>
          </w:tcPr>
          <w:p w:rsidR="00E31561" w:rsidRDefault="00E31561" w:rsidP="00EC5C2A">
            <w:pPr>
              <w:jc w:val="center"/>
            </w:pPr>
            <w:r w:rsidRPr="00462B5A">
              <w:rPr>
                <w:color w:val="F79646" w:themeColor="accent6"/>
              </w:rPr>
              <w:t>7.22</w:t>
            </w:r>
          </w:p>
        </w:tc>
      </w:tr>
      <w:tr w:rsidR="00E31561" w:rsidTr="00EC5C2A">
        <w:tc>
          <w:tcPr>
            <w:tcW w:w="2540" w:type="dxa"/>
          </w:tcPr>
          <w:p w:rsidR="00E31561" w:rsidRDefault="00E31561" w:rsidP="00EC5C2A">
            <w:r>
              <w:t>Park Hill</w:t>
            </w:r>
          </w:p>
        </w:tc>
        <w:tc>
          <w:tcPr>
            <w:tcW w:w="3065" w:type="dxa"/>
          </w:tcPr>
          <w:p w:rsidR="00E31561" w:rsidRPr="001B0034" w:rsidRDefault="00E31561" w:rsidP="00EC5C2A">
            <w:pPr>
              <w:jc w:val="center"/>
              <w:rPr>
                <w:color w:val="F79646" w:themeColor="accent6"/>
              </w:rPr>
            </w:pPr>
            <w:r w:rsidRPr="001B0034">
              <w:rPr>
                <w:color w:val="F79646" w:themeColor="accent6"/>
              </w:rPr>
              <w:t>11.04</w:t>
            </w:r>
          </w:p>
        </w:tc>
        <w:tc>
          <w:tcPr>
            <w:tcW w:w="2541" w:type="dxa"/>
          </w:tcPr>
          <w:p w:rsidR="00E31561" w:rsidRPr="00462B5A" w:rsidRDefault="00E31561" w:rsidP="00EC5C2A">
            <w:pPr>
              <w:jc w:val="center"/>
              <w:rPr>
                <w:color w:val="F79646" w:themeColor="accent6"/>
              </w:rPr>
            </w:pPr>
            <w:r w:rsidRPr="00462B5A">
              <w:rPr>
                <w:color w:val="F79646" w:themeColor="accent6"/>
              </w:rPr>
              <w:t>39.56</w:t>
            </w:r>
          </w:p>
        </w:tc>
        <w:tc>
          <w:tcPr>
            <w:tcW w:w="3019" w:type="dxa"/>
          </w:tcPr>
          <w:p w:rsidR="00E31561" w:rsidRPr="00462B5A" w:rsidRDefault="00E31561" w:rsidP="00EC5C2A">
            <w:pPr>
              <w:jc w:val="center"/>
              <w:rPr>
                <w:color w:val="8064A2" w:themeColor="accent4"/>
              </w:rPr>
            </w:pPr>
            <w:r w:rsidRPr="00462B5A">
              <w:rPr>
                <w:color w:val="8064A2" w:themeColor="accent4"/>
              </w:rPr>
              <w:t>38.60</w:t>
            </w:r>
          </w:p>
        </w:tc>
        <w:tc>
          <w:tcPr>
            <w:tcW w:w="2977" w:type="dxa"/>
          </w:tcPr>
          <w:p w:rsidR="00E31561" w:rsidRPr="00462B5A" w:rsidRDefault="00E31561" w:rsidP="00EC5C2A">
            <w:pPr>
              <w:jc w:val="center"/>
              <w:rPr>
                <w:color w:val="8064A2" w:themeColor="accent4"/>
              </w:rPr>
            </w:pPr>
            <w:r w:rsidRPr="00462B5A">
              <w:rPr>
                <w:color w:val="8064A2" w:themeColor="accent4"/>
              </w:rPr>
              <w:t>10.79</w:t>
            </w:r>
          </w:p>
        </w:tc>
      </w:tr>
      <w:tr w:rsidR="00E31561" w:rsidTr="00EC5C2A">
        <w:tc>
          <w:tcPr>
            <w:tcW w:w="2540" w:type="dxa"/>
          </w:tcPr>
          <w:p w:rsidR="00E31561" w:rsidRDefault="00E31561" w:rsidP="00EC5C2A">
            <w:r>
              <w:t>Radford Semele</w:t>
            </w:r>
          </w:p>
        </w:tc>
        <w:tc>
          <w:tcPr>
            <w:tcW w:w="3065" w:type="dxa"/>
          </w:tcPr>
          <w:p w:rsidR="00E31561" w:rsidRPr="001B0034" w:rsidRDefault="00E31561" w:rsidP="00EC5C2A">
            <w:pPr>
              <w:jc w:val="center"/>
              <w:rPr>
                <w:color w:val="F79646" w:themeColor="accent6"/>
              </w:rPr>
            </w:pPr>
            <w:r w:rsidRPr="001B0034">
              <w:rPr>
                <w:color w:val="F79646" w:themeColor="accent6"/>
              </w:rPr>
              <w:t>9.15</w:t>
            </w:r>
          </w:p>
        </w:tc>
        <w:tc>
          <w:tcPr>
            <w:tcW w:w="2541" w:type="dxa"/>
          </w:tcPr>
          <w:p w:rsidR="00E31561" w:rsidRPr="00462B5A" w:rsidRDefault="00E31561" w:rsidP="00EC5C2A">
            <w:pPr>
              <w:jc w:val="center"/>
              <w:rPr>
                <w:color w:val="F79646" w:themeColor="accent6"/>
              </w:rPr>
            </w:pPr>
            <w:r w:rsidRPr="00462B5A">
              <w:rPr>
                <w:color w:val="F79646" w:themeColor="accent6"/>
              </w:rPr>
              <w:t>33.15</w:t>
            </w:r>
          </w:p>
        </w:tc>
        <w:tc>
          <w:tcPr>
            <w:tcW w:w="3019" w:type="dxa"/>
          </w:tcPr>
          <w:p w:rsidR="00E31561" w:rsidRPr="00462B5A" w:rsidRDefault="00E31561" w:rsidP="00EC5C2A">
            <w:pPr>
              <w:jc w:val="center"/>
              <w:rPr>
                <w:color w:val="8064A2" w:themeColor="accent4"/>
              </w:rPr>
            </w:pPr>
            <w:r w:rsidRPr="00462B5A">
              <w:rPr>
                <w:color w:val="8064A2" w:themeColor="accent4"/>
              </w:rPr>
              <w:t>38.59</w:t>
            </w:r>
          </w:p>
        </w:tc>
        <w:tc>
          <w:tcPr>
            <w:tcW w:w="2977" w:type="dxa"/>
          </w:tcPr>
          <w:p w:rsidR="00E31561" w:rsidRPr="00462B5A" w:rsidRDefault="00E31561" w:rsidP="00EC5C2A">
            <w:pPr>
              <w:jc w:val="center"/>
              <w:rPr>
                <w:color w:val="8064A2" w:themeColor="accent4"/>
              </w:rPr>
            </w:pPr>
            <w:r w:rsidRPr="00462B5A">
              <w:rPr>
                <w:color w:val="8064A2" w:themeColor="accent4"/>
              </w:rPr>
              <w:t>19.12</w:t>
            </w:r>
          </w:p>
        </w:tc>
      </w:tr>
      <w:tr w:rsidR="00E31561" w:rsidTr="00EC5C2A">
        <w:tc>
          <w:tcPr>
            <w:tcW w:w="2540" w:type="dxa"/>
          </w:tcPr>
          <w:p w:rsidR="00E31561" w:rsidRDefault="00E31561" w:rsidP="00EC5C2A">
            <w:r>
              <w:t>St Johns</w:t>
            </w:r>
          </w:p>
        </w:tc>
        <w:tc>
          <w:tcPr>
            <w:tcW w:w="3065" w:type="dxa"/>
          </w:tcPr>
          <w:p w:rsidR="00E31561" w:rsidRPr="001B0034" w:rsidRDefault="00E307C8" w:rsidP="00EC5C2A">
            <w:pPr>
              <w:jc w:val="center"/>
              <w:rPr>
                <w:color w:val="F79646" w:themeColor="accent6"/>
              </w:rPr>
            </w:pPr>
            <w:r w:rsidRPr="001B0034">
              <w:rPr>
                <w:color w:val="F79646" w:themeColor="accent6"/>
              </w:rPr>
              <w:t>15.58</w:t>
            </w:r>
          </w:p>
        </w:tc>
        <w:tc>
          <w:tcPr>
            <w:tcW w:w="2541" w:type="dxa"/>
          </w:tcPr>
          <w:p w:rsidR="00E31561" w:rsidRDefault="0025161D" w:rsidP="00EC5C2A">
            <w:pPr>
              <w:jc w:val="center"/>
            </w:pPr>
            <w:r w:rsidRPr="00631AC3">
              <w:rPr>
                <w:color w:val="8064A2" w:themeColor="accent4"/>
              </w:rPr>
              <w:t>41.38</w:t>
            </w:r>
          </w:p>
        </w:tc>
        <w:tc>
          <w:tcPr>
            <w:tcW w:w="3019" w:type="dxa"/>
          </w:tcPr>
          <w:p w:rsidR="00E31561" w:rsidRDefault="0025161D" w:rsidP="00EC5C2A">
            <w:pPr>
              <w:jc w:val="center"/>
            </w:pPr>
            <w:r w:rsidRPr="00631AC3">
              <w:rPr>
                <w:color w:val="8064A2" w:themeColor="accent4"/>
              </w:rPr>
              <w:t>33.84</w:t>
            </w:r>
          </w:p>
        </w:tc>
        <w:tc>
          <w:tcPr>
            <w:tcW w:w="2977" w:type="dxa"/>
          </w:tcPr>
          <w:p w:rsidR="00E31561" w:rsidRDefault="0025161D" w:rsidP="00EC5C2A">
            <w:pPr>
              <w:jc w:val="center"/>
            </w:pPr>
            <w:r w:rsidRPr="00631AC3">
              <w:rPr>
                <w:color w:val="F79646" w:themeColor="accent6"/>
              </w:rPr>
              <w:t>6.74</w:t>
            </w:r>
          </w:p>
        </w:tc>
      </w:tr>
      <w:tr w:rsidR="00E31561" w:rsidTr="00EC5C2A">
        <w:tc>
          <w:tcPr>
            <w:tcW w:w="2540" w:type="dxa"/>
          </w:tcPr>
          <w:p w:rsidR="00E31561" w:rsidRDefault="00E31561" w:rsidP="00EC5C2A">
            <w:proofErr w:type="spellStart"/>
            <w:r>
              <w:t>Saltisford</w:t>
            </w:r>
            <w:proofErr w:type="spellEnd"/>
          </w:p>
        </w:tc>
        <w:tc>
          <w:tcPr>
            <w:tcW w:w="3065" w:type="dxa"/>
          </w:tcPr>
          <w:p w:rsidR="00E31561" w:rsidRPr="00DF72B8" w:rsidRDefault="00E31561" w:rsidP="00EC5C2A">
            <w:pPr>
              <w:jc w:val="center"/>
            </w:pPr>
            <w:r w:rsidRPr="001B0034">
              <w:rPr>
                <w:color w:val="8064A2" w:themeColor="accent4"/>
              </w:rPr>
              <w:t>26.64</w:t>
            </w:r>
          </w:p>
        </w:tc>
        <w:tc>
          <w:tcPr>
            <w:tcW w:w="2541" w:type="dxa"/>
          </w:tcPr>
          <w:p w:rsidR="00E31561" w:rsidRPr="00DF72B8" w:rsidRDefault="00E31561" w:rsidP="00EC5C2A">
            <w:pPr>
              <w:jc w:val="center"/>
            </w:pPr>
            <w:r w:rsidRPr="00462B5A">
              <w:rPr>
                <w:color w:val="8064A2" w:themeColor="accent4"/>
              </w:rPr>
              <w:t>47.68</w:t>
            </w:r>
          </w:p>
        </w:tc>
        <w:tc>
          <w:tcPr>
            <w:tcW w:w="3019" w:type="dxa"/>
          </w:tcPr>
          <w:p w:rsidR="00E31561" w:rsidRDefault="00E31561" w:rsidP="00EC5C2A">
            <w:pPr>
              <w:jc w:val="center"/>
            </w:pPr>
            <w:r w:rsidRPr="00462B5A">
              <w:rPr>
                <w:color w:val="F79646" w:themeColor="accent6"/>
              </w:rPr>
              <w:t>21.60</w:t>
            </w:r>
          </w:p>
        </w:tc>
        <w:tc>
          <w:tcPr>
            <w:tcW w:w="2977" w:type="dxa"/>
          </w:tcPr>
          <w:p w:rsidR="00E31561" w:rsidRDefault="00E31561" w:rsidP="00EC5C2A">
            <w:pPr>
              <w:jc w:val="center"/>
            </w:pPr>
            <w:r w:rsidRPr="00462B5A">
              <w:rPr>
                <w:color w:val="F79646" w:themeColor="accent6"/>
              </w:rPr>
              <w:t>4.12</w:t>
            </w:r>
          </w:p>
        </w:tc>
      </w:tr>
      <w:tr w:rsidR="00E31561" w:rsidTr="00EC5C2A">
        <w:tc>
          <w:tcPr>
            <w:tcW w:w="2540" w:type="dxa"/>
          </w:tcPr>
          <w:p w:rsidR="00E31561" w:rsidRDefault="00E31561" w:rsidP="00EC5C2A">
            <w:r>
              <w:t xml:space="preserve">Stoneleigh and </w:t>
            </w:r>
            <w:proofErr w:type="spellStart"/>
            <w:r>
              <w:t>Cubbington</w:t>
            </w:r>
            <w:proofErr w:type="spellEnd"/>
          </w:p>
        </w:tc>
        <w:tc>
          <w:tcPr>
            <w:tcW w:w="3065" w:type="dxa"/>
          </w:tcPr>
          <w:p w:rsidR="00E31561" w:rsidRPr="00DF72B8" w:rsidRDefault="00E31561" w:rsidP="00EC5C2A">
            <w:pPr>
              <w:jc w:val="center"/>
            </w:pPr>
            <w:r w:rsidRPr="001B0034">
              <w:rPr>
                <w:color w:val="F79646" w:themeColor="accent6"/>
              </w:rPr>
              <w:t>10.90</w:t>
            </w:r>
          </w:p>
        </w:tc>
        <w:tc>
          <w:tcPr>
            <w:tcW w:w="2541" w:type="dxa"/>
          </w:tcPr>
          <w:p w:rsidR="00E31561" w:rsidRPr="00DF72B8" w:rsidRDefault="00E31561" w:rsidP="00EC5C2A">
            <w:pPr>
              <w:jc w:val="center"/>
            </w:pPr>
            <w:r w:rsidRPr="00462B5A">
              <w:rPr>
                <w:color w:val="F79646" w:themeColor="accent6"/>
              </w:rPr>
              <w:t>37.60</w:t>
            </w:r>
          </w:p>
        </w:tc>
        <w:tc>
          <w:tcPr>
            <w:tcW w:w="3019" w:type="dxa"/>
          </w:tcPr>
          <w:p w:rsidR="00E31561" w:rsidRDefault="00E31561" w:rsidP="00EC5C2A">
            <w:pPr>
              <w:jc w:val="center"/>
            </w:pPr>
            <w:r w:rsidRPr="00462B5A">
              <w:rPr>
                <w:color w:val="8064A2" w:themeColor="accent4"/>
              </w:rPr>
              <w:t>36.58</w:t>
            </w:r>
          </w:p>
        </w:tc>
        <w:tc>
          <w:tcPr>
            <w:tcW w:w="2977" w:type="dxa"/>
          </w:tcPr>
          <w:p w:rsidR="00E31561" w:rsidRDefault="00E31561" w:rsidP="00EC5C2A">
            <w:pPr>
              <w:jc w:val="center"/>
            </w:pPr>
            <w:r w:rsidRPr="00462B5A">
              <w:rPr>
                <w:color w:val="8064A2" w:themeColor="accent4"/>
              </w:rPr>
              <w:t>14.92</w:t>
            </w:r>
          </w:p>
        </w:tc>
      </w:tr>
      <w:tr w:rsidR="00E31561" w:rsidTr="00EC5C2A">
        <w:tc>
          <w:tcPr>
            <w:tcW w:w="2540" w:type="dxa"/>
          </w:tcPr>
          <w:p w:rsidR="00E31561" w:rsidRDefault="00E31561" w:rsidP="00EC5C2A">
            <w:r>
              <w:t>Sydenham</w:t>
            </w:r>
          </w:p>
        </w:tc>
        <w:tc>
          <w:tcPr>
            <w:tcW w:w="3065" w:type="dxa"/>
          </w:tcPr>
          <w:p w:rsidR="00E31561" w:rsidRPr="00DF72B8" w:rsidRDefault="00E31561" w:rsidP="00EC5C2A">
            <w:pPr>
              <w:jc w:val="center"/>
            </w:pPr>
            <w:r w:rsidRPr="001B0034">
              <w:rPr>
                <w:color w:val="8064A2" w:themeColor="accent4"/>
              </w:rPr>
              <w:t>26.49</w:t>
            </w:r>
          </w:p>
        </w:tc>
        <w:tc>
          <w:tcPr>
            <w:tcW w:w="2541" w:type="dxa"/>
          </w:tcPr>
          <w:p w:rsidR="00E31561" w:rsidRPr="00462B5A" w:rsidRDefault="00E31561" w:rsidP="00EC5C2A">
            <w:pPr>
              <w:jc w:val="center"/>
              <w:rPr>
                <w:color w:val="8064A2" w:themeColor="accent4"/>
              </w:rPr>
            </w:pPr>
            <w:r w:rsidRPr="00462B5A">
              <w:rPr>
                <w:color w:val="8064A2" w:themeColor="accent4"/>
              </w:rPr>
              <w:t>45.22</w:t>
            </w:r>
          </w:p>
        </w:tc>
        <w:tc>
          <w:tcPr>
            <w:tcW w:w="3019" w:type="dxa"/>
          </w:tcPr>
          <w:p w:rsidR="00E31561" w:rsidRDefault="00E31561" w:rsidP="00EC5C2A">
            <w:pPr>
              <w:jc w:val="center"/>
            </w:pPr>
            <w:r w:rsidRPr="00462B5A">
              <w:rPr>
                <w:color w:val="F79646" w:themeColor="accent6"/>
              </w:rPr>
              <w:t>23.43</w:t>
            </w:r>
          </w:p>
        </w:tc>
        <w:tc>
          <w:tcPr>
            <w:tcW w:w="2977" w:type="dxa"/>
          </w:tcPr>
          <w:p w:rsidR="00E31561" w:rsidRDefault="00E31561" w:rsidP="00EC5C2A">
            <w:pPr>
              <w:jc w:val="center"/>
            </w:pPr>
            <w:r w:rsidRPr="00462B5A">
              <w:rPr>
                <w:color w:val="F79646" w:themeColor="accent6"/>
              </w:rPr>
              <w:t>4.86</w:t>
            </w:r>
          </w:p>
        </w:tc>
      </w:tr>
      <w:tr w:rsidR="00E31561" w:rsidTr="00EC5C2A">
        <w:tc>
          <w:tcPr>
            <w:tcW w:w="2540" w:type="dxa"/>
          </w:tcPr>
          <w:p w:rsidR="00E31561" w:rsidRDefault="00E31561" w:rsidP="00EC5C2A">
            <w:proofErr w:type="spellStart"/>
            <w:r>
              <w:t>Whitnash</w:t>
            </w:r>
            <w:proofErr w:type="spellEnd"/>
          </w:p>
        </w:tc>
        <w:tc>
          <w:tcPr>
            <w:tcW w:w="3065" w:type="dxa"/>
          </w:tcPr>
          <w:p w:rsidR="00E31561" w:rsidRPr="001B0034" w:rsidRDefault="00E31561" w:rsidP="00EC5C2A">
            <w:pPr>
              <w:jc w:val="center"/>
              <w:rPr>
                <w:color w:val="F79646" w:themeColor="accent6"/>
              </w:rPr>
            </w:pPr>
            <w:r w:rsidRPr="001B0034">
              <w:rPr>
                <w:color w:val="F79646" w:themeColor="accent6"/>
              </w:rPr>
              <w:t>15.75</w:t>
            </w:r>
          </w:p>
        </w:tc>
        <w:tc>
          <w:tcPr>
            <w:tcW w:w="2541" w:type="dxa"/>
          </w:tcPr>
          <w:p w:rsidR="00E31561" w:rsidRPr="00462B5A" w:rsidRDefault="00E31561" w:rsidP="00EC5C2A">
            <w:pPr>
              <w:jc w:val="center"/>
              <w:rPr>
                <w:color w:val="8064A2" w:themeColor="accent4"/>
              </w:rPr>
            </w:pPr>
            <w:r w:rsidRPr="00462B5A">
              <w:rPr>
                <w:color w:val="8064A2" w:themeColor="accent4"/>
              </w:rPr>
              <w:t>42.38</w:t>
            </w:r>
          </w:p>
        </w:tc>
        <w:tc>
          <w:tcPr>
            <w:tcW w:w="3019" w:type="dxa"/>
          </w:tcPr>
          <w:p w:rsidR="00E31561" w:rsidRDefault="00E31561" w:rsidP="00EC5C2A">
            <w:pPr>
              <w:jc w:val="center"/>
            </w:pPr>
            <w:r w:rsidRPr="00462B5A">
              <w:rPr>
                <w:color w:val="8064A2" w:themeColor="accent4"/>
              </w:rPr>
              <w:t>32.28</w:t>
            </w:r>
          </w:p>
        </w:tc>
        <w:tc>
          <w:tcPr>
            <w:tcW w:w="2977" w:type="dxa"/>
          </w:tcPr>
          <w:p w:rsidR="00E31561" w:rsidRDefault="00E31561" w:rsidP="00EC5C2A">
            <w:pPr>
              <w:jc w:val="center"/>
            </w:pPr>
            <w:r w:rsidRPr="00462B5A">
              <w:rPr>
                <w:color w:val="8064A2" w:themeColor="accent4"/>
              </w:rPr>
              <w:t>9.56</w:t>
            </w:r>
          </w:p>
        </w:tc>
      </w:tr>
      <w:tr w:rsidR="00E31561" w:rsidTr="00EC5C2A">
        <w:tc>
          <w:tcPr>
            <w:tcW w:w="2540" w:type="dxa"/>
          </w:tcPr>
          <w:p w:rsidR="00E31561" w:rsidRDefault="00E31561" w:rsidP="00EC5C2A">
            <w:proofErr w:type="spellStart"/>
            <w:r>
              <w:t>Woodloes</w:t>
            </w:r>
            <w:proofErr w:type="spellEnd"/>
          </w:p>
        </w:tc>
        <w:tc>
          <w:tcPr>
            <w:tcW w:w="3065" w:type="dxa"/>
          </w:tcPr>
          <w:p w:rsidR="00E31561" w:rsidRPr="001B0034" w:rsidRDefault="00E31561" w:rsidP="00EC5C2A">
            <w:pPr>
              <w:jc w:val="center"/>
              <w:rPr>
                <w:color w:val="F79646" w:themeColor="accent6"/>
              </w:rPr>
            </w:pPr>
            <w:r w:rsidRPr="001B0034">
              <w:rPr>
                <w:color w:val="F79646" w:themeColor="accent6"/>
              </w:rPr>
              <w:t>16.07</w:t>
            </w:r>
          </w:p>
        </w:tc>
        <w:tc>
          <w:tcPr>
            <w:tcW w:w="2541" w:type="dxa"/>
          </w:tcPr>
          <w:p w:rsidR="00E31561" w:rsidRPr="00462B5A" w:rsidRDefault="00E31561" w:rsidP="00EC5C2A">
            <w:pPr>
              <w:jc w:val="center"/>
              <w:rPr>
                <w:color w:val="8064A2" w:themeColor="accent4"/>
              </w:rPr>
            </w:pPr>
            <w:r w:rsidRPr="00462B5A">
              <w:rPr>
                <w:color w:val="8064A2" w:themeColor="accent4"/>
              </w:rPr>
              <w:t>45.47</w:t>
            </w:r>
          </w:p>
        </w:tc>
        <w:tc>
          <w:tcPr>
            <w:tcW w:w="3019" w:type="dxa"/>
          </w:tcPr>
          <w:p w:rsidR="00E31561" w:rsidRDefault="00E31561" w:rsidP="00EC5C2A">
            <w:pPr>
              <w:jc w:val="center"/>
            </w:pPr>
            <w:r w:rsidRPr="00462B5A">
              <w:rPr>
                <w:color w:val="F79646" w:themeColor="accent6"/>
              </w:rPr>
              <w:t>30.41</w:t>
            </w:r>
          </w:p>
        </w:tc>
        <w:tc>
          <w:tcPr>
            <w:tcW w:w="2977" w:type="dxa"/>
          </w:tcPr>
          <w:p w:rsidR="00E31561" w:rsidRDefault="00E31561" w:rsidP="00EC5C2A">
            <w:pPr>
              <w:jc w:val="center"/>
            </w:pPr>
            <w:r w:rsidRPr="00462B5A">
              <w:rPr>
                <w:color w:val="F79646" w:themeColor="accent6"/>
              </w:rPr>
              <w:t>8.05</w:t>
            </w:r>
          </w:p>
        </w:tc>
      </w:tr>
    </w:tbl>
    <w:p w:rsidR="00E31561" w:rsidRDefault="00E31561" w:rsidP="00E31561"/>
    <w:p w:rsidR="00E31561" w:rsidRDefault="00E31561" w:rsidP="00E31561">
      <w:r>
        <w:t>(</w:t>
      </w:r>
      <w:proofErr w:type="gramStart"/>
      <w:r w:rsidRPr="00FA66D9">
        <w:rPr>
          <w:color w:val="F79646" w:themeColor="accent6"/>
        </w:rPr>
        <w:t>orange</w:t>
      </w:r>
      <w:proofErr w:type="gramEnd"/>
      <w:r w:rsidR="00631AC3">
        <w:t xml:space="preserve"> denotes </w:t>
      </w:r>
      <w:r w:rsidR="00631AC3" w:rsidRPr="00631AC3">
        <w:rPr>
          <w:i/>
          <w:color w:val="F79646" w:themeColor="accent6"/>
        </w:rPr>
        <w:t>lower</w:t>
      </w:r>
      <w:r>
        <w:t xml:space="preserve"> than the district average, </w:t>
      </w:r>
      <w:r w:rsidRPr="00FA66D9">
        <w:rPr>
          <w:color w:val="8064A2" w:themeColor="accent4"/>
        </w:rPr>
        <w:t>purple</w:t>
      </w:r>
      <w:r>
        <w:t xml:space="preserve"> denotes </w:t>
      </w:r>
      <w:r w:rsidR="00631AC3" w:rsidRPr="00631AC3">
        <w:rPr>
          <w:i/>
          <w:color w:val="8064A2" w:themeColor="accent4"/>
        </w:rPr>
        <w:t>higher</w:t>
      </w:r>
      <w:r w:rsidR="00631AC3">
        <w:rPr>
          <w:color w:val="8064A2" w:themeColor="accent4"/>
        </w:rPr>
        <w:t xml:space="preserve"> </w:t>
      </w:r>
      <w:r>
        <w:t>than the district average)</w:t>
      </w:r>
    </w:p>
    <w:p w:rsidR="00380881" w:rsidRPr="00380881" w:rsidRDefault="00BA1FCD" w:rsidP="00380881">
      <w:pPr>
        <w:rPr>
          <w:b/>
        </w:rPr>
      </w:pPr>
      <w:r>
        <w:rPr>
          <w:b/>
        </w:rPr>
        <w:lastRenderedPageBreak/>
        <w:t xml:space="preserve">2.3 </w:t>
      </w:r>
      <w:r w:rsidR="00380881" w:rsidRPr="00380881">
        <w:rPr>
          <w:b/>
        </w:rPr>
        <w:t>Summary of key points</w:t>
      </w:r>
      <w:r w:rsidR="00380881">
        <w:rPr>
          <w:b/>
        </w:rPr>
        <w:t xml:space="preserve"> on car ownership</w:t>
      </w:r>
    </w:p>
    <w:p w:rsidR="00E31561" w:rsidRDefault="00E31561" w:rsidP="00E31561">
      <w:pPr>
        <w:pStyle w:val="ListParagraph"/>
        <w:numPr>
          <w:ilvl w:val="0"/>
          <w:numId w:val="3"/>
        </w:numPr>
      </w:pPr>
      <w:r>
        <w:t>In predominantly rural wards, the % of dwellings with no cars can be up to a third less than the district average.</w:t>
      </w:r>
    </w:p>
    <w:p w:rsidR="00E31561" w:rsidRDefault="00E31561" w:rsidP="00E31561">
      <w:pPr>
        <w:pStyle w:val="ListParagraph"/>
        <w:numPr>
          <w:ilvl w:val="0"/>
          <w:numId w:val="3"/>
        </w:numPr>
      </w:pPr>
      <w:r>
        <w:t>Kenilworth wards also have a notably lower % of dwellings with no access to a car or van.</w:t>
      </w:r>
    </w:p>
    <w:p w:rsidR="00E31561" w:rsidRDefault="00E31561" w:rsidP="00E31561">
      <w:pPr>
        <w:pStyle w:val="ListParagraph"/>
        <w:numPr>
          <w:ilvl w:val="0"/>
          <w:numId w:val="3"/>
        </w:numPr>
      </w:pPr>
      <w:r>
        <w:t>Other more urban wards tend to have a higher % of households with no access to a vehicle.</w:t>
      </w:r>
    </w:p>
    <w:p w:rsidR="00E31561" w:rsidRDefault="00E31561" w:rsidP="00E31561">
      <w:pPr>
        <w:pStyle w:val="ListParagraph"/>
        <w:numPr>
          <w:ilvl w:val="0"/>
          <w:numId w:val="3"/>
        </w:numPr>
      </w:pPr>
      <w:r>
        <w:t>Brunswick ward has approx. double the no. of dwellings with no access to a car than the district average</w:t>
      </w:r>
    </w:p>
    <w:p w:rsidR="00E31561" w:rsidRDefault="00E31561" w:rsidP="00E31561">
      <w:pPr>
        <w:pStyle w:val="ListParagraph"/>
        <w:numPr>
          <w:ilvl w:val="0"/>
          <w:numId w:val="3"/>
        </w:numPr>
      </w:pPr>
      <w:r>
        <w:t>Clarendon and Crown w</w:t>
      </w:r>
      <w:r w:rsidR="009A06BA">
        <w:t>ards have similar number</w:t>
      </w:r>
      <w:r>
        <w:t>s of dwellings with no access to a car/van, at more than 50% above the district average</w:t>
      </w:r>
    </w:p>
    <w:p w:rsidR="00E31561" w:rsidRDefault="00E31561" w:rsidP="00E31561">
      <w:pPr>
        <w:pStyle w:val="ListParagraph"/>
        <w:numPr>
          <w:ilvl w:val="0"/>
          <w:numId w:val="3"/>
        </w:numPr>
      </w:pPr>
      <w:r>
        <w:t>Wards where the % of dwellings that have no vehicles is</w:t>
      </w:r>
      <w:r w:rsidR="009A06BA">
        <w:t xml:space="preserve"> lowest</w:t>
      </w:r>
      <w:r>
        <w:t xml:space="preserve"> tend to have higher than average ownership of 2 or more cars. </w:t>
      </w:r>
    </w:p>
    <w:p w:rsidR="00E31561" w:rsidRDefault="00E31561" w:rsidP="000F4F4C"/>
    <w:p w:rsidR="00902965" w:rsidRDefault="00902965" w:rsidP="000F4F4C">
      <w:pPr>
        <w:rPr>
          <w:b/>
          <w:sz w:val="28"/>
          <w:szCs w:val="28"/>
        </w:rPr>
      </w:pPr>
    </w:p>
    <w:p w:rsidR="00902965" w:rsidRDefault="00902965" w:rsidP="000F4F4C">
      <w:pPr>
        <w:rPr>
          <w:b/>
          <w:sz w:val="28"/>
          <w:szCs w:val="28"/>
        </w:rPr>
      </w:pPr>
    </w:p>
    <w:p w:rsidR="00902965" w:rsidRDefault="00902965" w:rsidP="000F4F4C">
      <w:pPr>
        <w:rPr>
          <w:b/>
          <w:sz w:val="28"/>
          <w:szCs w:val="28"/>
        </w:rPr>
      </w:pPr>
    </w:p>
    <w:p w:rsidR="00902965" w:rsidRDefault="00902965" w:rsidP="000F4F4C">
      <w:pPr>
        <w:rPr>
          <w:b/>
          <w:sz w:val="28"/>
          <w:szCs w:val="28"/>
        </w:rPr>
      </w:pPr>
    </w:p>
    <w:p w:rsidR="00902965" w:rsidRDefault="00902965" w:rsidP="000F4F4C">
      <w:pPr>
        <w:rPr>
          <w:b/>
          <w:sz w:val="28"/>
          <w:szCs w:val="28"/>
        </w:rPr>
      </w:pPr>
    </w:p>
    <w:p w:rsidR="00902965" w:rsidRDefault="00902965" w:rsidP="000F4F4C">
      <w:pPr>
        <w:rPr>
          <w:b/>
          <w:sz w:val="28"/>
          <w:szCs w:val="28"/>
        </w:rPr>
      </w:pPr>
    </w:p>
    <w:p w:rsidR="00902965" w:rsidRDefault="00902965" w:rsidP="000F4F4C">
      <w:pPr>
        <w:rPr>
          <w:b/>
          <w:sz w:val="28"/>
          <w:szCs w:val="28"/>
        </w:rPr>
      </w:pPr>
    </w:p>
    <w:p w:rsidR="005549B4" w:rsidRDefault="005549B4" w:rsidP="000F4F4C">
      <w:pPr>
        <w:rPr>
          <w:b/>
          <w:sz w:val="28"/>
          <w:szCs w:val="28"/>
        </w:rPr>
      </w:pPr>
    </w:p>
    <w:p w:rsidR="005549B4" w:rsidRDefault="005549B4" w:rsidP="000F4F4C">
      <w:pPr>
        <w:rPr>
          <w:b/>
          <w:sz w:val="28"/>
          <w:szCs w:val="28"/>
        </w:rPr>
      </w:pPr>
    </w:p>
    <w:p w:rsidR="00147BEE" w:rsidRDefault="00147BEE" w:rsidP="000F4F4C">
      <w:pPr>
        <w:rPr>
          <w:b/>
          <w:sz w:val="28"/>
          <w:szCs w:val="28"/>
        </w:rPr>
      </w:pPr>
    </w:p>
    <w:p w:rsidR="009A06BA" w:rsidRPr="005E3785" w:rsidRDefault="009838DA" w:rsidP="000F4F4C">
      <w:pPr>
        <w:rPr>
          <w:sz w:val="28"/>
          <w:szCs w:val="28"/>
        </w:rPr>
      </w:pPr>
      <w:r w:rsidRPr="005E3785">
        <w:rPr>
          <w:b/>
          <w:sz w:val="28"/>
          <w:szCs w:val="28"/>
        </w:rPr>
        <w:lastRenderedPageBreak/>
        <w:t>Benchmarking against</w:t>
      </w:r>
      <w:r w:rsidR="009A06BA" w:rsidRPr="005E3785">
        <w:rPr>
          <w:b/>
          <w:sz w:val="28"/>
          <w:szCs w:val="28"/>
        </w:rPr>
        <w:t xml:space="preserve"> Parking Standards</w:t>
      </w:r>
      <w:r w:rsidRPr="005E3785">
        <w:rPr>
          <w:b/>
          <w:sz w:val="28"/>
          <w:szCs w:val="28"/>
        </w:rPr>
        <w:t xml:space="preserve"> from other Local Authority Areas</w:t>
      </w:r>
      <w:r w:rsidR="009A06BA" w:rsidRPr="005E3785">
        <w:rPr>
          <w:b/>
          <w:sz w:val="28"/>
          <w:szCs w:val="28"/>
        </w:rPr>
        <w:t xml:space="preserve"> </w:t>
      </w:r>
    </w:p>
    <w:p w:rsidR="009A06BA" w:rsidRDefault="009A06BA" w:rsidP="000F4F4C"/>
    <w:p w:rsidR="00A70933" w:rsidRDefault="00BA1FCD" w:rsidP="00147BEE">
      <w:pPr>
        <w:ind w:left="340" w:hanging="340"/>
      </w:pPr>
      <w:r>
        <w:t xml:space="preserve">2.4 </w:t>
      </w:r>
      <w:r w:rsidR="009A06BA">
        <w:t>The table below compares the parking standar</w:t>
      </w:r>
      <w:r w:rsidR="00A70933">
        <w:t>ds of other LPAs.  As identified</w:t>
      </w:r>
      <w:r w:rsidR="009A06BA">
        <w:t xml:space="preserve"> above, only LPAs that have produced parking standards since the adoption of the NPPF have been compared, as the NPPF brought about a significant shift in approach to the development of parking standards.</w:t>
      </w:r>
      <w:r w:rsidR="006F460F">
        <w:t xml:space="preserve">  Nearly all of the standards compared state </w:t>
      </w:r>
      <w:r w:rsidR="006F460F" w:rsidRPr="006F460F">
        <w:rPr>
          <w:u w:val="single"/>
        </w:rPr>
        <w:t>minimum</w:t>
      </w:r>
      <w:r w:rsidR="006F460F">
        <w:t xml:space="preserve"> numbers of parking spaces.</w:t>
      </w:r>
    </w:p>
    <w:p w:rsidR="00997D07" w:rsidRPr="00997D07" w:rsidRDefault="00997D07" w:rsidP="000F4F4C">
      <w:pPr>
        <w:rPr>
          <w:b/>
        </w:rPr>
      </w:pPr>
      <w:r w:rsidRPr="00997D07">
        <w:rPr>
          <w:b/>
        </w:rPr>
        <w:t>Table 1-4</w:t>
      </w:r>
      <w:r>
        <w:rPr>
          <w:b/>
        </w:rPr>
        <w:t xml:space="preserve"> Residential benchmarking</w:t>
      </w:r>
    </w:p>
    <w:tbl>
      <w:tblPr>
        <w:tblStyle w:val="TableGrid"/>
        <w:tblW w:w="0" w:type="auto"/>
        <w:tblLook w:val="04A0" w:firstRow="1" w:lastRow="0" w:firstColumn="1" w:lastColumn="0" w:noHBand="0" w:noVBand="1"/>
      </w:tblPr>
      <w:tblGrid>
        <w:gridCol w:w="1407"/>
        <w:gridCol w:w="1286"/>
        <w:gridCol w:w="1385"/>
        <w:gridCol w:w="1319"/>
        <w:gridCol w:w="1101"/>
        <w:gridCol w:w="1319"/>
        <w:gridCol w:w="1103"/>
        <w:gridCol w:w="1319"/>
        <w:gridCol w:w="1312"/>
        <w:gridCol w:w="1319"/>
      </w:tblGrid>
      <w:tr w:rsidR="00931496" w:rsidTr="00902965">
        <w:trPr>
          <w:trHeight w:val="802"/>
        </w:trPr>
        <w:tc>
          <w:tcPr>
            <w:tcW w:w="1407" w:type="dxa"/>
            <w:vMerge w:val="restart"/>
            <w:shd w:val="clear" w:color="auto" w:fill="8064A2" w:themeFill="accent4"/>
          </w:tcPr>
          <w:p w:rsidR="00931496" w:rsidRPr="00902965" w:rsidRDefault="00931496" w:rsidP="00EC5C2A">
            <w:pPr>
              <w:jc w:val="center"/>
              <w:rPr>
                <w:b/>
                <w:color w:val="FFFFFF" w:themeColor="background1"/>
              </w:rPr>
            </w:pPr>
          </w:p>
          <w:p w:rsidR="00931496" w:rsidRPr="00902965" w:rsidRDefault="00931496" w:rsidP="00EC5C2A">
            <w:pPr>
              <w:jc w:val="center"/>
              <w:rPr>
                <w:b/>
                <w:color w:val="FFFFFF" w:themeColor="background1"/>
              </w:rPr>
            </w:pPr>
          </w:p>
          <w:p w:rsidR="00931496" w:rsidRPr="00902965" w:rsidRDefault="00931496" w:rsidP="00EC5C2A">
            <w:pPr>
              <w:jc w:val="center"/>
              <w:rPr>
                <w:b/>
                <w:color w:val="FFFFFF" w:themeColor="background1"/>
              </w:rPr>
            </w:pPr>
            <w:r w:rsidRPr="00902965">
              <w:rPr>
                <w:b/>
                <w:color w:val="FFFFFF" w:themeColor="background1"/>
              </w:rPr>
              <w:t>C3 dwelling houses - size</w:t>
            </w:r>
          </w:p>
          <w:p w:rsidR="00931496" w:rsidRPr="00902965" w:rsidRDefault="00931496" w:rsidP="00EC5C2A">
            <w:pPr>
              <w:rPr>
                <w:color w:val="FFFFFF" w:themeColor="background1"/>
              </w:rPr>
            </w:pPr>
          </w:p>
        </w:tc>
        <w:tc>
          <w:tcPr>
            <w:tcW w:w="1286" w:type="dxa"/>
            <w:vMerge w:val="restart"/>
            <w:shd w:val="clear" w:color="auto" w:fill="8064A2" w:themeFill="accent4"/>
          </w:tcPr>
          <w:p w:rsidR="00931496" w:rsidRPr="00902965" w:rsidRDefault="00931496" w:rsidP="00E307C8">
            <w:pPr>
              <w:jc w:val="center"/>
              <w:rPr>
                <w:color w:val="FFFFFF" w:themeColor="background1"/>
              </w:rPr>
            </w:pPr>
            <w:r w:rsidRPr="00902965">
              <w:rPr>
                <w:b/>
                <w:color w:val="FFFFFF" w:themeColor="background1"/>
              </w:rPr>
              <w:t>Warwick</w:t>
            </w:r>
            <w:r w:rsidRPr="00902965">
              <w:rPr>
                <w:color w:val="FFFFFF" w:themeColor="background1"/>
              </w:rPr>
              <w:t xml:space="preserve"> DC 2007</w:t>
            </w:r>
          </w:p>
          <w:p w:rsidR="00931496" w:rsidRPr="00902965" w:rsidRDefault="00931496" w:rsidP="00EC5C2A">
            <w:pPr>
              <w:jc w:val="center"/>
              <w:rPr>
                <w:color w:val="FFFFFF" w:themeColor="background1"/>
                <w:sz w:val="18"/>
                <w:szCs w:val="18"/>
              </w:rPr>
            </w:pPr>
            <w:r w:rsidRPr="00902965">
              <w:rPr>
                <w:color w:val="FFFFFF" w:themeColor="background1"/>
                <w:sz w:val="18"/>
                <w:szCs w:val="18"/>
              </w:rPr>
              <w:t>(MAXIMUM spaces per dwelling)</w:t>
            </w:r>
          </w:p>
        </w:tc>
        <w:tc>
          <w:tcPr>
            <w:tcW w:w="2704" w:type="dxa"/>
            <w:gridSpan w:val="2"/>
            <w:shd w:val="clear" w:color="auto" w:fill="8064A2" w:themeFill="accent4"/>
          </w:tcPr>
          <w:p w:rsidR="00931496" w:rsidRPr="00902965" w:rsidRDefault="00931496" w:rsidP="00EC5C2A">
            <w:pPr>
              <w:jc w:val="center"/>
              <w:rPr>
                <w:b/>
                <w:color w:val="FFFFFF" w:themeColor="background1"/>
              </w:rPr>
            </w:pPr>
            <w:r w:rsidRPr="00902965">
              <w:rPr>
                <w:b/>
                <w:color w:val="FFFFFF" w:themeColor="background1"/>
              </w:rPr>
              <w:t>Wychavon 2016 (interim standards)</w:t>
            </w:r>
          </w:p>
          <w:p w:rsidR="00931496" w:rsidRPr="00902965" w:rsidRDefault="00931496" w:rsidP="00EC5C2A">
            <w:pPr>
              <w:jc w:val="center"/>
              <w:rPr>
                <w:color w:val="FFFFFF" w:themeColor="background1"/>
                <w:sz w:val="18"/>
                <w:szCs w:val="18"/>
              </w:rPr>
            </w:pPr>
            <w:r w:rsidRPr="00902965">
              <w:rPr>
                <w:color w:val="FFFFFF" w:themeColor="background1"/>
                <w:sz w:val="18"/>
                <w:szCs w:val="18"/>
              </w:rPr>
              <w:t>(MINIMUM spaces per dwelling)</w:t>
            </w:r>
          </w:p>
        </w:tc>
        <w:tc>
          <w:tcPr>
            <w:tcW w:w="2420" w:type="dxa"/>
            <w:gridSpan w:val="2"/>
            <w:shd w:val="clear" w:color="auto" w:fill="8064A2" w:themeFill="accent4"/>
          </w:tcPr>
          <w:p w:rsidR="00931496" w:rsidRPr="00902965" w:rsidRDefault="00931496" w:rsidP="00EC5C2A">
            <w:pPr>
              <w:jc w:val="center"/>
              <w:rPr>
                <w:b/>
                <w:color w:val="FFFFFF" w:themeColor="background1"/>
              </w:rPr>
            </w:pPr>
            <w:r w:rsidRPr="00902965">
              <w:rPr>
                <w:b/>
                <w:color w:val="FFFFFF" w:themeColor="background1"/>
              </w:rPr>
              <w:t>Northamptonshire 2016</w:t>
            </w:r>
          </w:p>
          <w:p w:rsidR="00931496" w:rsidRPr="00902965" w:rsidRDefault="00931496" w:rsidP="00EC5C2A">
            <w:pPr>
              <w:jc w:val="center"/>
              <w:rPr>
                <w:color w:val="FFFFFF" w:themeColor="background1"/>
                <w:sz w:val="18"/>
                <w:szCs w:val="18"/>
              </w:rPr>
            </w:pPr>
            <w:r w:rsidRPr="00902965">
              <w:rPr>
                <w:color w:val="FFFFFF" w:themeColor="background1"/>
                <w:sz w:val="18"/>
                <w:szCs w:val="18"/>
              </w:rPr>
              <w:t>(MINIMUM spaces per dwelling)</w:t>
            </w:r>
          </w:p>
        </w:tc>
        <w:tc>
          <w:tcPr>
            <w:tcW w:w="2422" w:type="dxa"/>
            <w:gridSpan w:val="2"/>
            <w:shd w:val="clear" w:color="auto" w:fill="8064A2" w:themeFill="accent4"/>
          </w:tcPr>
          <w:p w:rsidR="00931496" w:rsidRPr="00902965" w:rsidRDefault="00931496" w:rsidP="00543371">
            <w:pPr>
              <w:jc w:val="center"/>
              <w:rPr>
                <w:b/>
                <w:color w:val="FFFFFF" w:themeColor="background1"/>
              </w:rPr>
            </w:pPr>
            <w:r w:rsidRPr="00902965">
              <w:rPr>
                <w:b/>
                <w:color w:val="FFFFFF" w:themeColor="background1"/>
              </w:rPr>
              <w:t>South Gloucestershire 2013</w:t>
            </w:r>
            <w:r w:rsidR="00543371" w:rsidRPr="00902965">
              <w:rPr>
                <w:b/>
                <w:color w:val="FFFFFF" w:themeColor="background1"/>
              </w:rPr>
              <w:t xml:space="preserve"> </w:t>
            </w:r>
            <w:r w:rsidRPr="00902965">
              <w:rPr>
                <w:color w:val="FFFFFF" w:themeColor="background1"/>
                <w:sz w:val="18"/>
                <w:szCs w:val="18"/>
              </w:rPr>
              <w:t>(MINIMUM spaces per dwelling)</w:t>
            </w:r>
          </w:p>
        </w:tc>
        <w:tc>
          <w:tcPr>
            <w:tcW w:w="2631" w:type="dxa"/>
            <w:gridSpan w:val="2"/>
            <w:shd w:val="clear" w:color="auto" w:fill="8064A2" w:themeFill="accent4"/>
          </w:tcPr>
          <w:p w:rsidR="00931496" w:rsidRPr="00902965" w:rsidRDefault="00931496" w:rsidP="00641021">
            <w:pPr>
              <w:jc w:val="center"/>
              <w:rPr>
                <w:b/>
                <w:color w:val="FFFFFF" w:themeColor="background1"/>
              </w:rPr>
            </w:pPr>
            <w:r w:rsidRPr="00902965">
              <w:rPr>
                <w:b/>
                <w:color w:val="FFFFFF" w:themeColor="background1"/>
              </w:rPr>
              <w:t>Stratford</w:t>
            </w:r>
            <w:r w:rsidR="00641021" w:rsidRPr="00902965">
              <w:rPr>
                <w:b/>
                <w:color w:val="FFFFFF" w:themeColor="background1"/>
              </w:rPr>
              <w:t xml:space="preserve"> - </w:t>
            </w:r>
            <w:r w:rsidR="006F04F5">
              <w:rPr>
                <w:b/>
                <w:color w:val="FFFFFF" w:themeColor="background1"/>
              </w:rPr>
              <w:t xml:space="preserve">DRAFT </w:t>
            </w:r>
          </w:p>
          <w:p w:rsidR="00931496" w:rsidRDefault="00641021" w:rsidP="00EC5C2A">
            <w:pPr>
              <w:jc w:val="center"/>
              <w:rPr>
                <w:color w:val="FFFFFF" w:themeColor="background1"/>
                <w:sz w:val="18"/>
                <w:szCs w:val="18"/>
              </w:rPr>
            </w:pPr>
            <w:r w:rsidRPr="00902965">
              <w:rPr>
                <w:color w:val="FFFFFF" w:themeColor="background1"/>
                <w:sz w:val="18"/>
                <w:szCs w:val="18"/>
              </w:rPr>
              <w:t>(standard spaces per dwelling</w:t>
            </w:r>
            <w:r w:rsidR="00931496" w:rsidRPr="00902965">
              <w:rPr>
                <w:color w:val="FFFFFF" w:themeColor="background1"/>
                <w:sz w:val="18"/>
                <w:szCs w:val="18"/>
              </w:rPr>
              <w:t>)</w:t>
            </w:r>
          </w:p>
          <w:p w:rsidR="006F04F5" w:rsidRPr="00902965" w:rsidRDefault="006F04F5" w:rsidP="00EC5C2A">
            <w:pPr>
              <w:jc w:val="center"/>
              <w:rPr>
                <w:color w:val="FFFFFF" w:themeColor="background1"/>
                <w:sz w:val="18"/>
                <w:szCs w:val="18"/>
              </w:rPr>
            </w:pPr>
            <w:r>
              <w:rPr>
                <w:color w:val="FFFFFF" w:themeColor="background1"/>
                <w:sz w:val="18"/>
                <w:szCs w:val="18"/>
              </w:rPr>
              <w:t>**subject to consultation**</w:t>
            </w:r>
          </w:p>
        </w:tc>
      </w:tr>
      <w:tr w:rsidR="00931496" w:rsidTr="00902965">
        <w:tc>
          <w:tcPr>
            <w:tcW w:w="1407" w:type="dxa"/>
            <w:vMerge/>
          </w:tcPr>
          <w:p w:rsidR="00931496" w:rsidRPr="00B12B06" w:rsidRDefault="00931496" w:rsidP="00EC5C2A">
            <w:pPr>
              <w:jc w:val="center"/>
              <w:rPr>
                <w:b/>
              </w:rPr>
            </w:pPr>
          </w:p>
        </w:tc>
        <w:tc>
          <w:tcPr>
            <w:tcW w:w="1286" w:type="dxa"/>
            <w:vMerge/>
            <w:shd w:val="clear" w:color="auto" w:fill="EEECE1" w:themeFill="background2"/>
          </w:tcPr>
          <w:p w:rsidR="00931496" w:rsidRDefault="00931496" w:rsidP="00EC5C2A">
            <w:pPr>
              <w:jc w:val="center"/>
            </w:pPr>
          </w:p>
        </w:tc>
        <w:tc>
          <w:tcPr>
            <w:tcW w:w="1385"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Allocated</w:t>
            </w:r>
          </w:p>
        </w:tc>
        <w:tc>
          <w:tcPr>
            <w:tcW w:w="1319"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Unallocated</w:t>
            </w:r>
          </w:p>
          <w:p w:rsidR="00931496" w:rsidRPr="00902965" w:rsidRDefault="00931496" w:rsidP="00EC5C2A">
            <w:pPr>
              <w:jc w:val="center"/>
              <w:rPr>
                <w:b/>
                <w:color w:val="FFFFFF" w:themeColor="background1"/>
              </w:rPr>
            </w:pPr>
            <w:r w:rsidRPr="00902965">
              <w:rPr>
                <w:b/>
                <w:color w:val="FFFFFF" w:themeColor="background1"/>
              </w:rPr>
              <w:t>(visitor)</w:t>
            </w:r>
          </w:p>
        </w:tc>
        <w:tc>
          <w:tcPr>
            <w:tcW w:w="1101"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Allocated</w:t>
            </w:r>
          </w:p>
        </w:tc>
        <w:tc>
          <w:tcPr>
            <w:tcW w:w="1319"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Unallocated</w:t>
            </w:r>
          </w:p>
          <w:p w:rsidR="00931496" w:rsidRPr="00902965" w:rsidRDefault="00931496" w:rsidP="00EC5C2A">
            <w:pPr>
              <w:jc w:val="center"/>
              <w:rPr>
                <w:b/>
                <w:color w:val="FFFFFF" w:themeColor="background1"/>
              </w:rPr>
            </w:pPr>
            <w:r w:rsidRPr="00902965">
              <w:rPr>
                <w:b/>
                <w:color w:val="FFFFFF" w:themeColor="background1"/>
              </w:rPr>
              <w:t>(visitor)</w:t>
            </w:r>
          </w:p>
        </w:tc>
        <w:tc>
          <w:tcPr>
            <w:tcW w:w="1103"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Allocated</w:t>
            </w:r>
          </w:p>
        </w:tc>
        <w:tc>
          <w:tcPr>
            <w:tcW w:w="1319"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Unallocated (visitor)</w:t>
            </w:r>
          </w:p>
        </w:tc>
        <w:tc>
          <w:tcPr>
            <w:tcW w:w="1312"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Allocated</w:t>
            </w:r>
          </w:p>
        </w:tc>
        <w:tc>
          <w:tcPr>
            <w:tcW w:w="1319" w:type="dxa"/>
            <w:shd w:val="clear" w:color="auto" w:fill="CCC0D9" w:themeFill="accent4" w:themeFillTint="66"/>
          </w:tcPr>
          <w:p w:rsidR="00931496" w:rsidRPr="00902965" w:rsidRDefault="00931496" w:rsidP="00EC5C2A">
            <w:pPr>
              <w:jc w:val="center"/>
              <w:rPr>
                <w:b/>
                <w:color w:val="FFFFFF" w:themeColor="background1"/>
              </w:rPr>
            </w:pPr>
            <w:r w:rsidRPr="00902965">
              <w:rPr>
                <w:b/>
                <w:color w:val="FFFFFF" w:themeColor="background1"/>
              </w:rPr>
              <w:t>Unallocated</w:t>
            </w:r>
          </w:p>
        </w:tc>
      </w:tr>
      <w:tr w:rsidR="00931496" w:rsidTr="00902965">
        <w:tc>
          <w:tcPr>
            <w:tcW w:w="1407" w:type="dxa"/>
            <w:shd w:val="clear" w:color="auto" w:fill="CCC0D9" w:themeFill="accent4" w:themeFillTint="66"/>
          </w:tcPr>
          <w:p w:rsidR="00931496" w:rsidRDefault="00931496" w:rsidP="00EC5C2A">
            <w:r>
              <w:t>1 bed</w:t>
            </w:r>
          </w:p>
        </w:tc>
        <w:tc>
          <w:tcPr>
            <w:tcW w:w="1286" w:type="dxa"/>
            <w:shd w:val="clear" w:color="auto" w:fill="auto"/>
          </w:tcPr>
          <w:p w:rsidR="00931496" w:rsidRDefault="00931496" w:rsidP="00EC5C2A">
            <w:r>
              <w:t>1/unit</w:t>
            </w:r>
          </w:p>
        </w:tc>
        <w:tc>
          <w:tcPr>
            <w:tcW w:w="1385" w:type="dxa"/>
            <w:shd w:val="clear" w:color="auto" w:fill="F2F2F2" w:themeFill="background1" w:themeFillShade="F2"/>
          </w:tcPr>
          <w:p w:rsidR="00931496" w:rsidRDefault="00BA0117" w:rsidP="00EC5C2A">
            <w:r>
              <w:t xml:space="preserve">1 </w:t>
            </w:r>
            <w:r w:rsidRPr="00BA0117">
              <w:rPr>
                <w:sz w:val="20"/>
                <w:szCs w:val="20"/>
              </w:rPr>
              <w:t>(Flat with communal parking)</w:t>
            </w:r>
          </w:p>
          <w:p w:rsidR="00931496" w:rsidRDefault="00931496" w:rsidP="00EC5C2A"/>
          <w:p w:rsidR="00931496" w:rsidRDefault="00BA0117" w:rsidP="00BA0117">
            <w:r>
              <w:t xml:space="preserve">2** </w:t>
            </w:r>
            <w:r w:rsidRPr="00BA0117">
              <w:rPr>
                <w:sz w:val="20"/>
                <w:szCs w:val="20"/>
              </w:rPr>
              <w:t>(House)</w:t>
            </w:r>
            <w:r>
              <w:t xml:space="preserve"> </w:t>
            </w:r>
          </w:p>
        </w:tc>
        <w:tc>
          <w:tcPr>
            <w:tcW w:w="1319" w:type="dxa"/>
          </w:tcPr>
          <w:p w:rsidR="00931496" w:rsidRPr="009C451C" w:rsidRDefault="00931496" w:rsidP="00BA0117">
            <w:pPr>
              <w:jc w:val="center"/>
              <w:rPr>
                <w:highlight w:val="yellow"/>
              </w:rPr>
            </w:pPr>
            <w:r w:rsidRPr="00E0182A">
              <w:t>-</w:t>
            </w:r>
          </w:p>
        </w:tc>
        <w:tc>
          <w:tcPr>
            <w:tcW w:w="1101" w:type="dxa"/>
            <w:shd w:val="clear" w:color="auto" w:fill="F2F2F2" w:themeFill="background1" w:themeFillShade="F2"/>
          </w:tcPr>
          <w:p w:rsidR="00931496" w:rsidRDefault="00931496" w:rsidP="00E0182A">
            <w:r w:rsidRPr="00E0182A">
              <w:t>1</w:t>
            </w:r>
            <w:r>
              <w:t xml:space="preserve"> </w:t>
            </w:r>
          </w:p>
        </w:tc>
        <w:tc>
          <w:tcPr>
            <w:tcW w:w="1319" w:type="dxa"/>
          </w:tcPr>
          <w:p w:rsidR="00931496" w:rsidRPr="009C451C" w:rsidRDefault="00931496" w:rsidP="00EC5C2A">
            <w:pPr>
              <w:rPr>
                <w:highlight w:val="yellow"/>
              </w:rPr>
            </w:pPr>
            <w:r w:rsidRPr="00E0182A">
              <w:t>1</w:t>
            </w:r>
          </w:p>
        </w:tc>
        <w:tc>
          <w:tcPr>
            <w:tcW w:w="1103" w:type="dxa"/>
            <w:shd w:val="clear" w:color="auto" w:fill="F2F2F2" w:themeFill="background1" w:themeFillShade="F2"/>
          </w:tcPr>
          <w:p w:rsidR="00931496" w:rsidRDefault="00931496" w:rsidP="00931496">
            <w:r w:rsidRPr="00931496">
              <w:t>1</w:t>
            </w:r>
          </w:p>
        </w:tc>
        <w:tc>
          <w:tcPr>
            <w:tcW w:w="1319" w:type="dxa"/>
          </w:tcPr>
          <w:p w:rsidR="00931496" w:rsidRPr="009C451C" w:rsidRDefault="00931496" w:rsidP="00EC5C2A">
            <w:pPr>
              <w:rPr>
                <w:highlight w:val="yellow"/>
              </w:rPr>
            </w:pPr>
            <w:r w:rsidRPr="00931496">
              <w:t>0.2</w:t>
            </w:r>
          </w:p>
        </w:tc>
        <w:tc>
          <w:tcPr>
            <w:tcW w:w="1312" w:type="dxa"/>
            <w:shd w:val="clear" w:color="auto" w:fill="F2F2F2" w:themeFill="background1" w:themeFillShade="F2"/>
          </w:tcPr>
          <w:p w:rsidR="00931496" w:rsidRPr="00931496" w:rsidRDefault="00931496" w:rsidP="00931496">
            <w:r w:rsidRPr="00931496">
              <w:t xml:space="preserve">1 </w:t>
            </w:r>
          </w:p>
        </w:tc>
        <w:tc>
          <w:tcPr>
            <w:tcW w:w="1319" w:type="dxa"/>
          </w:tcPr>
          <w:p w:rsidR="00931496" w:rsidRPr="00931496" w:rsidRDefault="00931496" w:rsidP="00EC5C2A">
            <w:r w:rsidRPr="00931496">
              <w:t>0.4</w:t>
            </w:r>
          </w:p>
        </w:tc>
      </w:tr>
      <w:tr w:rsidR="00931496" w:rsidTr="007438E7">
        <w:trPr>
          <w:trHeight w:val="1589"/>
        </w:trPr>
        <w:tc>
          <w:tcPr>
            <w:tcW w:w="1407" w:type="dxa"/>
            <w:shd w:val="clear" w:color="auto" w:fill="CCC0D9" w:themeFill="accent4" w:themeFillTint="66"/>
          </w:tcPr>
          <w:p w:rsidR="00931496" w:rsidRDefault="00931496" w:rsidP="00EC5C2A">
            <w:r>
              <w:t>2 bed</w:t>
            </w:r>
          </w:p>
        </w:tc>
        <w:tc>
          <w:tcPr>
            <w:tcW w:w="1286" w:type="dxa"/>
            <w:shd w:val="clear" w:color="auto" w:fill="auto"/>
          </w:tcPr>
          <w:p w:rsidR="00931496" w:rsidRDefault="00931496" w:rsidP="00EC5C2A">
            <w:r>
              <w:t>1.5/unit</w:t>
            </w:r>
          </w:p>
        </w:tc>
        <w:tc>
          <w:tcPr>
            <w:tcW w:w="1385" w:type="dxa"/>
            <w:shd w:val="clear" w:color="auto" w:fill="F2F2F2" w:themeFill="background1" w:themeFillShade="F2"/>
          </w:tcPr>
          <w:p w:rsidR="00931496" w:rsidRDefault="00BA0117" w:rsidP="00EC5C2A">
            <w:r>
              <w:t xml:space="preserve">2 </w:t>
            </w:r>
            <w:r w:rsidRPr="00BA0117">
              <w:rPr>
                <w:sz w:val="20"/>
                <w:szCs w:val="20"/>
              </w:rPr>
              <w:t>(</w:t>
            </w:r>
            <w:r w:rsidR="00931496" w:rsidRPr="00BA0117">
              <w:rPr>
                <w:sz w:val="20"/>
                <w:szCs w:val="20"/>
              </w:rPr>
              <w:t>Flat with communal parking</w:t>
            </w:r>
            <w:r w:rsidRPr="00BA0117">
              <w:rPr>
                <w:sz w:val="20"/>
                <w:szCs w:val="20"/>
              </w:rPr>
              <w:t>)</w:t>
            </w:r>
            <w:r w:rsidR="00931496">
              <w:t xml:space="preserve"> </w:t>
            </w:r>
          </w:p>
          <w:p w:rsidR="00931496" w:rsidRDefault="00931496" w:rsidP="00EC5C2A"/>
          <w:p w:rsidR="00931496" w:rsidRDefault="00931496" w:rsidP="00EC5C2A">
            <w:r w:rsidRPr="00BA0117">
              <w:t>2</w:t>
            </w:r>
            <w:r>
              <w:t>**</w:t>
            </w:r>
            <w:r w:rsidR="00BA0117">
              <w:t xml:space="preserve"> </w:t>
            </w:r>
            <w:r w:rsidR="00BA0117" w:rsidRPr="00BA0117">
              <w:rPr>
                <w:sz w:val="20"/>
                <w:szCs w:val="20"/>
              </w:rPr>
              <w:t>(House)</w:t>
            </w:r>
            <w:r w:rsidR="00BA0117">
              <w:t xml:space="preserve"> </w:t>
            </w:r>
          </w:p>
        </w:tc>
        <w:tc>
          <w:tcPr>
            <w:tcW w:w="1319" w:type="dxa"/>
          </w:tcPr>
          <w:p w:rsidR="00931496" w:rsidRPr="009C451C" w:rsidRDefault="00BA0117" w:rsidP="00BA0117">
            <w:pPr>
              <w:jc w:val="center"/>
              <w:rPr>
                <w:highlight w:val="yellow"/>
              </w:rPr>
            </w:pPr>
            <w:r w:rsidRPr="00BA0117">
              <w:t>-</w:t>
            </w:r>
          </w:p>
        </w:tc>
        <w:tc>
          <w:tcPr>
            <w:tcW w:w="1101" w:type="dxa"/>
            <w:shd w:val="clear" w:color="auto" w:fill="F2F2F2" w:themeFill="background1" w:themeFillShade="F2"/>
          </w:tcPr>
          <w:p w:rsidR="00931496" w:rsidRDefault="00931496" w:rsidP="00E0182A">
            <w:r w:rsidRPr="00E0182A">
              <w:t>2</w:t>
            </w:r>
            <w:r>
              <w:t xml:space="preserve"> </w:t>
            </w:r>
          </w:p>
        </w:tc>
        <w:tc>
          <w:tcPr>
            <w:tcW w:w="1319" w:type="dxa"/>
          </w:tcPr>
          <w:p w:rsidR="00931496" w:rsidRDefault="00931496" w:rsidP="00EC5C2A">
            <w:r>
              <w:t>1</w:t>
            </w:r>
          </w:p>
        </w:tc>
        <w:tc>
          <w:tcPr>
            <w:tcW w:w="1103" w:type="dxa"/>
            <w:shd w:val="clear" w:color="auto" w:fill="F2F2F2" w:themeFill="background1" w:themeFillShade="F2"/>
          </w:tcPr>
          <w:p w:rsidR="00931496" w:rsidRDefault="00931496" w:rsidP="00931496">
            <w:r>
              <w:t>1.5</w:t>
            </w:r>
          </w:p>
        </w:tc>
        <w:tc>
          <w:tcPr>
            <w:tcW w:w="1319" w:type="dxa"/>
          </w:tcPr>
          <w:p w:rsidR="00931496" w:rsidRPr="009C451C" w:rsidRDefault="00931496" w:rsidP="00EC5C2A">
            <w:pPr>
              <w:rPr>
                <w:highlight w:val="yellow"/>
              </w:rPr>
            </w:pPr>
            <w:r w:rsidRPr="00931496">
              <w:t>0.2</w:t>
            </w:r>
          </w:p>
        </w:tc>
        <w:tc>
          <w:tcPr>
            <w:tcW w:w="1312" w:type="dxa"/>
            <w:shd w:val="clear" w:color="auto" w:fill="F2F2F2" w:themeFill="background1" w:themeFillShade="F2"/>
          </w:tcPr>
          <w:p w:rsidR="00931496" w:rsidRPr="00931496" w:rsidRDefault="00931496" w:rsidP="00931496">
            <w:r w:rsidRPr="00931496">
              <w:t xml:space="preserve">2 </w:t>
            </w:r>
          </w:p>
        </w:tc>
        <w:tc>
          <w:tcPr>
            <w:tcW w:w="1319" w:type="dxa"/>
          </w:tcPr>
          <w:p w:rsidR="00931496" w:rsidRPr="00931496" w:rsidRDefault="00931496" w:rsidP="00EC5C2A">
            <w:r w:rsidRPr="00931496">
              <w:t>0.4</w:t>
            </w:r>
          </w:p>
        </w:tc>
      </w:tr>
      <w:tr w:rsidR="00931496" w:rsidTr="00902965">
        <w:tc>
          <w:tcPr>
            <w:tcW w:w="1407" w:type="dxa"/>
            <w:shd w:val="clear" w:color="auto" w:fill="CCC0D9" w:themeFill="accent4" w:themeFillTint="66"/>
          </w:tcPr>
          <w:p w:rsidR="00931496" w:rsidRDefault="00931496" w:rsidP="00EC5C2A">
            <w:r>
              <w:t>3 bed</w:t>
            </w:r>
          </w:p>
        </w:tc>
        <w:tc>
          <w:tcPr>
            <w:tcW w:w="1286" w:type="dxa"/>
            <w:shd w:val="clear" w:color="auto" w:fill="auto"/>
          </w:tcPr>
          <w:p w:rsidR="00931496" w:rsidRDefault="00931496" w:rsidP="00EC5C2A">
            <w:r>
              <w:t>2/unit</w:t>
            </w:r>
          </w:p>
        </w:tc>
        <w:tc>
          <w:tcPr>
            <w:tcW w:w="1385" w:type="dxa"/>
            <w:shd w:val="clear" w:color="auto" w:fill="F2F2F2" w:themeFill="background1" w:themeFillShade="F2"/>
          </w:tcPr>
          <w:p w:rsidR="00931496" w:rsidRDefault="00931496" w:rsidP="00E0182A">
            <w:r w:rsidRPr="00E0182A">
              <w:t>2</w:t>
            </w:r>
            <w:r>
              <w:t xml:space="preserve"> **</w:t>
            </w:r>
          </w:p>
        </w:tc>
        <w:tc>
          <w:tcPr>
            <w:tcW w:w="1319" w:type="dxa"/>
          </w:tcPr>
          <w:p w:rsidR="00931496" w:rsidRPr="00BA0117" w:rsidRDefault="00BA0117" w:rsidP="00BA0117">
            <w:pPr>
              <w:jc w:val="center"/>
            </w:pPr>
            <w:r w:rsidRPr="00BA0117">
              <w:t>-</w:t>
            </w:r>
          </w:p>
        </w:tc>
        <w:tc>
          <w:tcPr>
            <w:tcW w:w="1101" w:type="dxa"/>
            <w:shd w:val="clear" w:color="auto" w:fill="F2F2F2" w:themeFill="background1" w:themeFillShade="F2"/>
          </w:tcPr>
          <w:p w:rsidR="00931496" w:rsidRDefault="00931496" w:rsidP="00E0182A">
            <w:r w:rsidRPr="00E0182A">
              <w:t>2</w:t>
            </w:r>
          </w:p>
        </w:tc>
        <w:tc>
          <w:tcPr>
            <w:tcW w:w="1319" w:type="dxa"/>
          </w:tcPr>
          <w:p w:rsidR="00931496" w:rsidRPr="009C451C" w:rsidRDefault="00931496" w:rsidP="00EC5C2A">
            <w:pPr>
              <w:rPr>
                <w:highlight w:val="yellow"/>
              </w:rPr>
            </w:pPr>
            <w:r w:rsidRPr="00E0182A">
              <w:t>1</w:t>
            </w:r>
          </w:p>
        </w:tc>
        <w:tc>
          <w:tcPr>
            <w:tcW w:w="1103" w:type="dxa"/>
            <w:shd w:val="clear" w:color="auto" w:fill="F2F2F2" w:themeFill="background1" w:themeFillShade="F2"/>
          </w:tcPr>
          <w:p w:rsidR="00931496" w:rsidRDefault="00931496" w:rsidP="00931496">
            <w:r w:rsidRPr="00931496">
              <w:t>2</w:t>
            </w:r>
          </w:p>
        </w:tc>
        <w:tc>
          <w:tcPr>
            <w:tcW w:w="1319" w:type="dxa"/>
          </w:tcPr>
          <w:p w:rsidR="00931496" w:rsidRPr="009C451C" w:rsidRDefault="00931496" w:rsidP="00EC5C2A">
            <w:pPr>
              <w:rPr>
                <w:highlight w:val="yellow"/>
              </w:rPr>
            </w:pPr>
            <w:r w:rsidRPr="00931496">
              <w:t>0.2</w:t>
            </w:r>
          </w:p>
        </w:tc>
        <w:tc>
          <w:tcPr>
            <w:tcW w:w="1312" w:type="dxa"/>
            <w:shd w:val="clear" w:color="auto" w:fill="F2F2F2" w:themeFill="background1" w:themeFillShade="F2"/>
          </w:tcPr>
          <w:p w:rsidR="00931496" w:rsidRPr="00931496" w:rsidRDefault="00931496" w:rsidP="00931496">
            <w:r w:rsidRPr="00931496">
              <w:t>2</w:t>
            </w:r>
          </w:p>
        </w:tc>
        <w:tc>
          <w:tcPr>
            <w:tcW w:w="1319" w:type="dxa"/>
          </w:tcPr>
          <w:p w:rsidR="00931496" w:rsidRPr="00931496" w:rsidRDefault="00931496" w:rsidP="00EC5C2A">
            <w:r w:rsidRPr="00931496">
              <w:t>0.4</w:t>
            </w:r>
          </w:p>
        </w:tc>
      </w:tr>
      <w:tr w:rsidR="00931496" w:rsidTr="00902965">
        <w:tc>
          <w:tcPr>
            <w:tcW w:w="1407" w:type="dxa"/>
            <w:shd w:val="clear" w:color="auto" w:fill="CCC0D9" w:themeFill="accent4" w:themeFillTint="66"/>
          </w:tcPr>
          <w:p w:rsidR="00931496" w:rsidRDefault="00931496" w:rsidP="00EC5C2A">
            <w:r>
              <w:t>4+ beds</w:t>
            </w:r>
          </w:p>
        </w:tc>
        <w:tc>
          <w:tcPr>
            <w:tcW w:w="1286" w:type="dxa"/>
            <w:shd w:val="clear" w:color="auto" w:fill="auto"/>
          </w:tcPr>
          <w:p w:rsidR="00931496" w:rsidRDefault="00931496" w:rsidP="00EC5C2A">
            <w:r>
              <w:t>2/unit</w:t>
            </w:r>
          </w:p>
        </w:tc>
        <w:tc>
          <w:tcPr>
            <w:tcW w:w="1385" w:type="dxa"/>
            <w:shd w:val="clear" w:color="auto" w:fill="F2F2F2" w:themeFill="background1" w:themeFillShade="F2"/>
          </w:tcPr>
          <w:p w:rsidR="00931496" w:rsidRDefault="00931496" w:rsidP="00E0182A">
            <w:r w:rsidRPr="00E0182A">
              <w:t>3</w:t>
            </w:r>
            <w:r>
              <w:t xml:space="preserve"> **</w:t>
            </w:r>
          </w:p>
        </w:tc>
        <w:tc>
          <w:tcPr>
            <w:tcW w:w="1319" w:type="dxa"/>
          </w:tcPr>
          <w:p w:rsidR="00931496" w:rsidRPr="00BA0117" w:rsidRDefault="00BA0117" w:rsidP="00BA0117">
            <w:pPr>
              <w:jc w:val="center"/>
            </w:pPr>
            <w:r w:rsidRPr="00BA0117">
              <w:t>-</w:t>
            </w:r>
          </w:p>
        </w:tc>
        <w:tc>
          <w:tcPr>
            <w:tcW w:w="1101" w:type="dxa"/>
            <w:shd w:val="clear" w:color="auto" w:fill="F2F2F2" w:themeFill="background1" w:themeFillShade="F2"/>
          </w:tcPr>
          <w:p w:rsidR="00931496" w:rsidRDefault="00931496" w:rsidP="00E0182A">
            <w:r w:rsidRPr="00E0182A">
              <w:t>3</w:t>
            </w:r>
            <w:r>
              <w:t xml:space="preserve"> </w:t>
            </w:r>
          </w:p>
        </w:tc>
        <w:tc>
          <w:tcPr>
            <w:tcW w:w="1319" w:type="dxa"/>
          </w:tcPr>
          <w:p w:rsidR="00931496" w:rsidRPr="009C451C" w:rsidRDefault="00931496" w:rsidP="00EC5C2A">
            <w:pPr>
              <w:rPr>
                <w:highlight w:val="yellow"/>
              </w:rPr>
            </w:pPr>
            <w:r w:rsidRPr="00E0182A">
              <w:t>1</w:t>
            </w:r>
          </w:p>
        </w:tc>
        <w:tc>
          <w:tcPr>
            <w:tcW w:w="1103" w:type="dxa"/>
            <w:shd w:val="clear" w:color="auto" w:fill="F2F2F2" w:themeFill="background1" w:themeFillShade="F2"/>
          </w:tcPr>
          <w:p w:rsidR="00931496" w:rsidRDefault="00931496" w:rsidP="00931496">
            <w:r w:rsidRPr="00931496">
              <w:t>2</w:t>
            </w:r>
            <w:r>
              <w:t xml:space="preserve"> </w:t>
            </w:r>
          </w:p>
        </w:tc>
        <w:tc>
          <w:tcPr>
            <w:tcW w:w="1319" w:type="dxa"/>
          </w:tcPr>
          <w:p w:rsidR="00931496" w:rsidRPr="009C451C" w:rsidRDefault="00931496" w:rsidP="00EC5C2A">
            <w:pPr>
              <w:rPr>
                <w:highlight w:val="yellow"/>
              </w:rPr>
            </w:pPr>
            <w:r w:rsidRPr="00931496">
              <w:t>0.2</w:t>
            </w:r>
          </w:p>
        </w:tc>
        <w:tc>
          <w:tcPr>
            <w:tcW w:w="1312" w:type="dxa"/>
            <w:shd w:val="clear" w:color="auto" w:fill="F2F2F2" w:themeFill="background1" w:themeFillShade="F2"/>
          </w:tcPr>
          <w:p w:rsidR="00931496" w:rsidRPr="00931496" w:rsidRDefault="00931496" w:rsidP="00931496">
            <w:r w:rsidRPr="00931496">
              <w:t>3</w:t>
            </w:r>
          </w:p>
        </w:tc>
        <w:tc>
          <w:tcPr>
            <w:tcW w:w="1319" w:type="dxa"/>
          </w:tcPr>
          <w:p w:rsidR="00931496" w:rsidRPr="00931496" w:rsidRDefault="00931496" w:rsidP="00EC5C2A">
            <w:r w:rsidRPr="00931496">
              <w:t>0.4</w:t>
            </w:r>
          </w:p>
        </w:tc>
      </w:tr>
      <w:tr w:rsidR="00931496" w:rsidTr="00902965">
        <w:tc>
          <w:tcPr>
            <w:tcW w:w="1407" w:type="dxa"/>
            <w:shd w:val="clear" w:color="auto" w:fill="CCC0D9" w:themeFill="accent4" w:themeFillTint="66"/>
          </w:tcPr>
          <w:p w:rsidR="00931496" w:rsidRDefault="00931496" w:rsidP="00EC5C2A">
            <w:r>
              <w:t>5+ beds</w:t>
            </w:r>
          </w:p>
        </w:tc>
        <w:tc>
          <w:tcPr>
            <w:tcW w:w="1286" w:type="dxa"/>
            <w:shd w:val="clear" w:color="auto" w:fill="auto"/>
          </w:tcPr>
          <w:p w:rsidR="00931496" w:rsidRDefault="00931496" w:rsidP="00EC5C2A">
            <w:pPr>
              <w:jc w:val="center"/>
            </w:pPr>
            <w:r>
              <w:t>-</w:t>
            </w:r>
          </w:p>
        </w:tc>
        <w:tc>
          <w:tcPr>
            <w:tcW w:w="1385" w:type="dxa"/>
            <w:shd w:val="clear" w:color="auto" w:fill="F2F2F2" w:themeFill="background1" w:themeFillShade="F2"/>
          </w:tcPr>
          <w:p w:rsidR="00931496" w:rsidRDefault="00902965" w:rsidP="00EC5C2A">
            <w:pPr>
              <w:jc w:val="center"/>
            </w:pPr>
            <w:r>
              <w:t>-</w:t>
            </w:r>
          </w:p>
        </w:tc>
        <w:tc>
          <w:tcPr>
            <w:tcW w:w="1319" w:type="dxa"/>
          </w:tcPr>
          <w:p w:rsidR="00931496" w:rsidRDefault="00BA0117" w:rsidP="00EC5C2A">
            <w:pPr>
              <w:jc w:val="center"/>
            </w:pPr>
            <w:r>
              <w:t>-</w:t>
            </w:r>
          </w:p>
        </w:tc>
        <w:tc>
          <w:tcPr>
            <w:tcW w:w="1101" w:type="dxa"/>
            <w:shd w:val="clear" w:color="auto" w:fill="F2F2F2" w:themeFill="background1" w:themeFillShade="F2"/>
          </w:tcPr>
          <w:p w:rsidR="00931496" w:rsidRDefault="00931496" w:rsidP="00EC5C2A">
            <w:pPr>
              <w:jc w:val="center"/>
            </w:pPr>
            <w:r>
              <w:t>-</w:t>
            </w:r>
          </w:p>
        </w:tc>
        <w:tc>
          <w:tcPr>
            <w:tcW w:w="1319" w:type="dxa"/>
          </w:tcPr>
          <w:p w:rsidR="00931496" w:rsidRPr="009C451C" w:rsidRDefault="00902965" w:rsidP="00902965">
            <w:pPr>
              <w:jc w:val="center"/>
              <w:rPr>
                <w:highlight w:val="yellow"/>
              </w:rPr>
            </w:pPr>
            <w:r w:rsidRPr="00902965">
              <w:t>-</w:t>
            </w:r>
          </w:p>
        </w:tc>
        <w:tc>
          <w:tcPr>
            <w:tcW w:w="1103" w:type="dxa"/>
            <w:shd w:val="clear" w:color="auto" w:fill="F2F2F2" w:themeFill="background1" w:themeFillShade="F2"/>
          </w:tcPr>
          <w:p w:rsidR="00931496" w:rsidRDefault="00931496" w:rsidP="00931496">
            <w:r w:rsidRPr="00931496">
              <w:t>3</w:t>
            </w:r>
          </w:p>
        </w:tc>
        <w:tc>
          <w:tcPr>
            <w:tcW w:w="1319" w:type="dxa"/>
          </w:tcPr>
          <w:p w:rsidR="00931496" w:rsidRDefault="00931496" w:rsidP="00931496">
            <w:r w:rsidRPr="00931496">
              <w:t>0.2</w:t>
            </w:r>
          </w:p>
        </w:tc>
        <w:tc>
          <w:tcPr>
            <w:tcW w:w="1312" w:type="dxa"/>
            <w:shd w:val="clear" w:color="auto" w:fill="F2F2F2" w:themeFill="background1" w:themeFillShade="F2"/>
          </w:tcPr>
          <w:p w:rsidR="00931496" w:rsidRDefault="00931496" w:rsidP="00EC5C2A">
            <w:pPr>
              <w:jc w:val="center"/>
            </w:pPr>
            <w:r>
              <w:t>-</w:t>
            </w:r>
          </w:p>
        </w:tc>
        <w:tc>
          <w:tcPr>
            <w:tcW w:w="1319" w:type="dxa"/>
          </w:tcPr>
          <w:p w:rsidR="00931496" w:rsidRDefault="00902965" w:rsidP="00EC5C2A">
            <w:pPr>
              <w:jc w:val="center"/>
            </w:pPr>
            <w:r>
              <w:t>-</w:t>
            </w:r>
          </w:p>
        </w:tc>
      </w:tr>
      <w:tr w:rsidR="00931496" w:rsidTr="007438E7">
        <w:trPr>
          <w:trHeight w:val="2006"/>
        </w:trPr>
        <w:tc>
          <w:tcPr>
            <w:tcW w:w="1407" w:type="dxa"/>
            <w:shd w:val="clear" w:color="auto" w:fill="CCC0D9" w:themeFill="accent4" w:themeFillTint="66"/>
          </w:tcPr>
          <w:p w:rsidR="00931496" w:rsidRDefault="00931496" w:rsidP="00EC5C2A">
            <w:r>
              <w:lastRenderedPageBreak/>
              <w:t xml:space="preserve">Retirement development </w:t>
            </w:r>
          </w:p>
        </w:tc>
        <w:tc>
          <w:tcPr>
            <w:tcW w:w="1286" w:type="dxa"/>
            <w:shd w:val="clear" w:color="auto" w:fill="auto"/>
          </w:tcPr>
          <w:p w:rsidR="00931496" w:rsidRDefault="00931496" w:rsidP="00EC5C2A"/>
        </w:tc>
        <w:tc>
          <w:tcPr>
            <w:tcW w:w="1385" w:type="dxa"/>
            <w:shd w:val="clear" w:color="auto" w:fill="F2F2F2" w:themeFill="background1" w:themeFillShade="F2"/>
          </w:tcPr>
          <w:p w:rsidR="00931496" w:rsidRDefault="00931496" w:rsidP="00EC5C2A"/>
        </w:tc>
        <w:tc>
          <w:tcPr>
            <w:tcW w:w="1319" w:type="dxa"/>
          </w:tcPr>
          <w:p w:rsidR="00931496" w:rsidRDefault="00931496" w:rsidP="00EC5C2A"/>
        </w:tc>
        <w:tc>
          <w:tcPr>
            <w:tcW w:w="1101" w:type="dxa"/>
            <w:shd w:val="clear" w:color="auto" w:fill="F2F2F2" w:themeFill="background1" w:themeFillShade="F2"/>
          </w:tcPr>
          <w:p w:rsidR="00931496" w:rsidRDefault="00931496" w:rsidP="00931496">
            <w:r>
              <w:t>1</w:t>
            </w:r>
          </w:p>
        </w:tc>
        <w:tc>
          <w:tcPr>
            <w:tcW w:w="1319" w:type="dxa"/>
          </w:tcPr>
          <w:p w:rsidR="00931496" w:rsidRDefault="00931496" w:rsidP="00EC5C2A">
            <w:r>
              <w:t>0.5</w:t>
            </w:r>
          </w:p>
        </w:tc>
        <w:tc>
          <w:tcPr>
            <w:tcW w:w="1103" w:type="dxa"/>
            <w:shd w:val="clear" w:color="auto" w:fill="F2F2F2" w:themeFill="background1" w:themeFillShade="F2"/>
          </w:tcPr>
          <w:p w:rsidR="00931496" w:rsidRDefault="00931496" w:rsidP="00EC5C2A"/>
        </w:tc>
        <w:tc>
          <w:tcPr>
            <w:tcW w:w="1319" w:type="dxa"/>
          </w:tcPr>
          <w:p w:rsidR="00931496" w:rsidRDefault="00931496" w:rsidP="00EC5C2A"/>
        </w:tc>
        <w:tc>
          <w:tcPr>
            <w:tcW w:w="1312" w:type="dxa"/>
            <w:shd w:val="clear" w:color="auto" w:fill="F2F2F2" w:themeFill="background1" w:themeFillShade="F2"/>
          </w:tcPr>
          <w:p w:rsidR="00931496" w:rsidRDefault="00931496" w:rsidP="00EC5C2A">
            <w:r>
              <w:t>Residents -1/unit</w:t>
            </w:r>
          </w:p>
          <w:p w:rsidR="00931496" w:rsidRDefault="00931496" w:rsidP="00EC5C2A">
            <w:r>
              <w:t>Non-resident staff – ½ staff members</w:t>
            </w:r>
          </w:p>
          <w:p w:rsidR="00931496" w:rsidRDefault="00931496" w:rsidP="00902965"/>
        </w:tc>
        <w:tc>
          <w:tcPr>
            <w:tcW w:w="1319" w:type="dxa"/>
          </w:tcPr>
          <w:p w:rsidR="00902965" w:rsidRDefault="00902965" w:rsidP="00902965">
            <w:r>
              <w:t>Visitors – 1/10 units</w:t>
            </w:r>
          </w:p>
          <w:p w:rsidR="00931496" w:rsidRDefault="00931496" w:rsidP="00EC5C2A"/>
        </w:tc>
      </w:tr>
      <w:tr w:rsidR="00931496" w:rsidTr="00902965">
        <w:tc>
          <w:tcPr>
            <w:tcW w:w="1407" w:type="dxa"/>
            <w:shd w:val="clear" w:color="auto" w:fill="CCC0D9" w:themeFill="accent4" w:themeFillTint="66"/>
          </w:tcPr>
          <w:p w:rsidR="00931496" w:rsidRDefault="00931496" w:rsidP="00EC5C2A">
            <w:r>
              <w:t>C4 - HMOs</w:t>
            </w:r>
          </w:p>
        </w:tc>
        <w:tc>
          <w:tcPr>
            <w:tcW w:w="1286" w:type="dxa"/>
            <w:shd w:val="clear" w:color="auto" w:fill="auto"/>
          </w:tcPr>
          <w:p w:rsidR="00931496" w:rsidRDefault="00931496" w:rsidP="00EC5C2A">
            <w:r>
              <w:t>1/2 bedrooms</w:t>
            </w:r>
          </w:p>
        </w:tc>
        <w:tc>
          <w:tcPr>
            <w:tcW w:w="1385" w:type="dxa"/>
            <w:shd w:val="clear" w:color="auto" w:fill="F2F2F2" w:themeFill="background1" w:themeFillShade="F2"/>
          </w:tcPr>
          <w:p w:rsidR="00931496" w:rsidRDefault="00931496" w:rsidP="00EC5C2A"/>
        </w:tc>
        <w:tc>
          <w:tcPr>
            <w:tcW w:w="1319" w:type="dxa"/>
          </w:tcPr>
          <w:p w:rsidR="00931496" w:rsidRDefault="00931496" w:rsidP="00EC5C2A"/>
        </w:tc>
        <w:tc>
          <w:tcPr>
            <w:tcW w:w="1101" w:type="dxa"/>
          </w:tcPr>
          <w:p w:rsidR="00931496" w:rsidRDefault="00931496" w:rsidP="00EC5C2A">
            <w:r>
              <w:t xml:space="preserve">1 space </w:t>
            </w:r>
            <w:r w:rsidRPr="009838DA">
              <w:rPr>
                <w:b/>
              </w:rPr>
              <w:t>per bedroom</w:t>
            </w:r>
          </w:p>
        </w:tc>
        <w:tc>
          <w:tcPr>
            <w:tcW w:w="1319" w:type="dxa"/>
          </w:tcPr>
          <w:p w:rsidR="00931496" w:rsidRDefault="00931496" w:rsidP="00EC5C2A"/>
        </w:tc>
        <w:tc>
          <w:tcPr>
            <w:tcW w:w="1103" w:type="dxa"/>
          </w:tcPr>
          <w:p w:rsidR="00931496" w:rsidRDefault="00931496" w:rsidP="00EC5C2A"/>
        </w:tc>
        <w:tc>
          <w:tcPr>
            <w:tcW w:w="1319" w:type="dxa"/>
          </w:tcPr>
          <w:p w:rsidR="00931496" w:rsidRDefault="00931496" w:rsidP="00EC5C2A"/>
        </w:tc>
        <w:tc>
          <w:tcPr>
            <w:tcW w:w="1312" w:type="dxa"/>
          </w:tcPr>
          <w:p w:rsidR="00931496" w:rsidRDefault="00931496" w:rsidP="00EC5C2A"/>
        </w:tc>
        <w:tc>
          <w:tcPr>
            <w:tcW w:w="1319" w:type="dxa"/>
          </w:tcPr>
          <w:p w:rsidR="00931496" w:rsidRDefault="00931496" w:rsidP="00EC5C2A"/>
        </w:tc>
      </w:tr>
    </w:tbl>
    <w:p w:rsidR="00A70933" w:rsidRDefault="00A70933" w:rsidP="000F4F4C"/>
    <w:p w:rsidR="006F460F" w:rsidRDefault="006F460F" w:rsidP="006F460F">
      <w:r>
        <w:t>**garages excluded from minimum calculation due to ability to convert them to habitable accommodation without permission, and the fact they are often used for storage.  The exception would be where they are equipped for electric vehicle charging, and a condition may be imposed ensuring its retention for the purposes of parking a vehicle.</w:t>
      </w:r>
    </w:p>
    <w:p w:rsidR="00E44865" w:rsidRPr="00045910" w:rsidRDefault="00045910" w:rsidP="000F4F4C">
      <w:pPr>
        <w:rPr>
          <w:b/>
        </w:rPr>
      </w:pPr>
      <w:r w:rsidRPr="00045910">
        <w:rPr>
          <w:b/>
        </w:rPr>
        <w:t>Purpose Built Student Accommodation</w:t>
      </w:r>
    </w:p>
    <w:p w:rsidR="001F7D6F" w:rsidRDefault="00BA1FCD" w:rsidP="00147BEE">
      <w:pPr>
        <w:ind w:left="340" w:hanging="340"/>
      </w:pPr>
      <w:r>
        <w:t xml:space="preserve">2.5 </w:t>
      </w:r>
      <w:r w:rsidR="00045910">
        <w:t xml:space="preserve">The 2007 Vehicle Parking Standards </w:t>
      </w:r>
      <w:proofErr w:type="gramStart"/>
      <w:r w:rsidR="00045910">
        <w:t>SPD,</w:t>
      </w:r>
      <w:proofErr w:type="gramEnd"/>
      <w:r w:rsidR="00045910">
        <w:t xml:space="preserve"> does not define a parking standard for Purpose Built Student Accommodation (PBSA), and therefore to date each case has been considered on its own merits in respect of parking provision.  Aspirations to explore the potential for a bespoke standard have been expressed, </w:t>
      </w:r>
      <w:r w:rsidR="007805D1">
        <w:t xml:space="preserve">and therefore the evidence base that might support this has been looked into.  The Parking Standards from the Local Authority Areas compared in table 1-4 above did not include PBSAs.  </w:t>
      </w:r>
      <w:r w:rsidR="001F7D6F">
        <w:t xml:space="preserve">This was found to be common to many Local Planning Authorities, which can commonly put down to either no/insignificant student </w:t>
      </w:r>
      <w:proofErr w:type="gramStart"/>
      <w:r w:rsidR="001F7D6F">
        <w:t>populations,</w:t>
      </w:r>
      <w:proofErr w:type="gramEnd"/>
      <w:r w:rsidR="001F7D6F">
        <w:t xml:space="preserve"> or the trend for LAs and Universities to actively seek to discourage students from bringing cars with them during their studies.</w:t>
      </w:r>
      <w:r w:rsidR="009B58FD">
        <w:t xml:space="preserve">  Examples reviewed </w:t>
      </w:r>
      <w:r w:rsidR="00CF39C0">
        <w:t xml:space="preserve"> (adopted post NPPF) </w:t>
      </w:r>
      <w:r w:rsidR="009B58FD">
        <w:t>which were found not to include a bespoke standard for PBSAs (in addition to the above) include Brighton and Hove, Cumbria, Exeter, Buckinghamshire, Bath, Oxford, Worcestershire</w:t>
      </w:r>
      <w:r w:rsidR="007078FB">
        <w:t>, Milton Keynes, Suffolk.</w:t>
      </w:r>
    </w:p>
    <w:p w:rsidR="00045910" w:rsidRDefault="00BA1FCD" w:rsidP="00147BEE">
      <w:pPr>
        <w:ind w:left="340" w:hanging="340"/>
      </w:pPr>
      <w:r>
        <w:t xml:space="preserve">2.6 </w:t>
      </w:r>
      <w:r w:rsidR="007805D1">
        <w:t>Other Local Authority areas that do have specific parking standards for PBSAs have therefore been compared below.  All examples have been adopted since the introduction of the NPPF</w:t>
      </w:r>
      <w:r w:rsidR="006D64B6">
        <w:t xml:space="preserve"> in line with other residential benchmarking</w:t>
      </w:r>
      <w:r w:rsidR="007805D1">
        <w:t>.</w:t>
      </w:r>
    </w:p>
    <w:p w:rsidR="001F7D6F" w:rsidRDefault="001F7D6F" w:rsidP="000F4F4C">
      <w:pPr>
        <w:rPr>
          <w:b/>
        </w:rPr>
      </w:pPr>
    </w:p>
    <w:p w:rsidR="001F7D6F" w:rsidRDefault="001F7D6F" w:rsidP="000F4F4C">
      <w:pPr>
        <w:rPr>
          <w:b/>
        </w:rPr>
      </w:pPr>
    </w:p>
    <w:p w:rsidR="007805D1" w:rsidRPr="001F7D6F" w:rsidRDefault="007805D1" w:rsidP="000F4F4C">
      <w:pPr>
        <w:rPr>
          <w:b/>
        </w:rPr>
      </w:pPr>
      <w:r w:rsidRPr="001F7D6F">
        <w:rPr>
          <w:b/>
        </w:rPr>
        <w:t>Table 1-5</w:t>
      </w:r>
    </w:p>
    <w:tbl>
      <w:tblPr>
        <w:tblStyle w:val="TableGrid"/>
        <w:tblW w:w="0" w:type="auto"/>
        <w:tblLook w:val="04A0" w:firstRow="1" w:lastRow="0" w:firstColumn="1" w:lastColumn="0" w:noHBand="0" w:noVBand="1"/>
      </w:tblPr>
      <w:tblGrid>
        <w:gridCol w:w="2834"/>
        <w:gridCol w:w="2835"/>
        <w:gridCol w:w="2835"/>
        <w:gridCol w:w="2835"/>
      </w:tblGrid>
      <w:tr w:rsidR="007078FB" w:rsidTr="007805D1">
        <w:tc>
          <w:tcPr>
            <w:tcW w:w="2834" w:type="dxa"/>
          </w:tcPr>
          <w:p w:rsidR="007078FB" w:rsidRDefault="007078FB" w:rsidP="000F4F4C"/>
        </w:tc>
        <w:tc>
          <w:tcPr>
            <w:tcW w:w="2835" w:type="dxa"/>
          </w:tcPr>
          <w:p w:rsidR="007078FB" w:rsidRDefault="007078FB" w:rsidP="000F4F4C">
            <w:r w:rsidRPr="001F7D6F">
              <w:rPr>
                <w:b/>
              </w:rPr>
              <w:t>Swansea</w:t>
            </w:r>
            <w:r>
              <w:t xml:space="preserve"> (March 2012)</w:t>
            </w:r>
          </w:p>
          <w:p w:rsidR="007078FB" w:rsidRDefault="007078FB" w:rsidP="000F4F4C">
            <w:r>
              <w:t xml:space="preserve">(referenced in the 2017 HMO and PBSA SPD) </w:t>
            </w:r>
          </w:p>
        </w:tc>
        <w:tc>
          <w:tcPr>
            <w:tcW w:w="2835" w:type="dxa"/>
          </w:tcPr>
          <w:p w:rsidR="007078FB" w:rsidRDefault="007078FB" w:rsidP="000F4F4C">
            <w:r w:rsidRPr="001F7D6F">
              <w:rPr>
                <w:b/>
              </w:rPr>
              <w:t>Plymouth</w:t>
            </w:r>
            <w:r>
              <w:t xml:space="preserve"> (May 2013)</w:t>
            </w:r>
          </w:p>
          <w:p w:rsidR="007078FB" w:rsidRDefault="007078FB" w:rsidP="000F4F4C">
            <w:r>
              <w:t>(Maximum standard)</w:t>
            </w:r>
          </w:p>
        </w:tc>
        <w:tc>
          <w:tcPr>
            <w:tcW w:w="2835" w:type="dxa"/>
          </w:tcPr>
          <w:p w:rsidR="007078FB" w:rsidRDefault="007078FB" w:rsidP="000F4F4C">
            <w:r w:rsidRPr="00CF39C0">
              <w:rPr>
                <w:b/>
              </w:rPr>
              <w:t>Derby</w:t>
            </w:r>
            <w:r w:rsidRPr="007078FB">
              <w:rPr>
                <w:b/>
              </w:rPr>
              <w:t xml:space="preserve"> City</w:t>
            </w:r>
            <w:r>
              <w:t xml:space="preserve"> (2013)</w:t>
            </w:r>
          </w:p>
        </w:tc>
      </w:tr>
      <w:tr w:rsidR="007078FB" w:rsidTr="007805D1">
        <w:tc>
          <w:tcPr>
            <w:tcW w:w="2834" w:type="dxa"/>
          </w:tcPr>
          <w:p w:rsidR="007078FB" w:rsidRDefault="007078FB" w:rsidP="000F4F4C">
            <w:r>
              <w:t>PBSA parking standard</w:t>
            </w:r>
          </w:p>
        </w:tc>
        <w:tc>
          <w:tcPr>
            <w:tcW w:w="2835" w:type="dxa"/>
          </w:tcPr>
          <w:p w:rsidR="007078FB" w:rsidRDefault="007078FB" w:rsidP="000F4F4C">
            <w:r>
              <w:t>1 space/25 beds for servicing, wardens and drop off areas (zone 1)</w:t>
            </w:r>
          </w:p>
          <w:p w:rsidR="007078FB" w:rsidRDefault="007078FB" w:rsidP="000F4F4C">
            <w:r>
              <w:t>1 space/25 beds for servicing, wardens and drop off areas + 1 space/10 beds for students and visitors (zones 2-6)</w:t>
            </w:r>
          </w:p>
        </w:tc>
        <w:tc>
          <w:tcPr>
            <w:tcW w:w="2835" w:type="dxa"/>
          </w:tcPr>
          <w:p w:rsidR="007078FB" w:rsidRDefault="007078FB" w:rsidP="000F4F4C">
            <w:r>
              <w:t>1 space/2 occupiers</w:t>
            </w:r>
          </w:p>
        </w:tc>
        <w:tc>
          <w:tcPr>
            <w:tcW w:w="2835" w:type="dxa"/>
          </w:tcPr>
          <w:p w:rsidR="007078FB" w:rsidRDefault="007078FB" w:rsidP="000F4F4C">
            <w:r>
              <w:t>1 space/ 4 bed spaces (at least 1 space per 15 bed spaces or less should be for ambulance or mini-bus parking and indicated as parking for disabled people)</w:t>
            </w:r>
          </w:p>
        </w:tc>
      </w:tr>
    </w:tbl>
    <w:p w:rsidR="007805D1" w:rsidRDefault="007805D1" w:rsidP="000F4F4C"/>
    <w:p w:rsidR="00045910" w:rsidRDefault="00BA1FCD" w:rsidP="00147BEE">
      <w:pPr>
        <w:ind w:left="340" w:hanging="340"/>
      </w:pPr>
      <w:r>
        <w:t xml:space="preserve">2.7 </w:t>
      </w:r>
      <w:r w:rsidR="008F75CE">
        <w:t>Of those that were found to include bespoke standards, there is significant variation in the amount of parking spaces required, and it is unclear what evidential basis has been used in determining these standards.  Swansea has adopted a zonal approach to its parking standards which clearly differentiates between central more accessible areas of the city, and those further toward the periphery.</w:t>
      </w:r>
    </w:p>
    <w:p w:rsidR="00754FF2" w:rsidRDefault="00BA1FCD" w:rsidP="00147BEE">
      <w:pPr>
        <w:ind w:left="340" w:hanging="340"/>
      </w:pPr>
      <w:r>
        <w:t xml:space="preserve">2.8 </w:t>
      </w:r>
      <w:r w:rsidR="008F75CE">
        <w:t>The above highlights that relatively few local authorities specify parking standards for this land use.  Furthermore, disparate results have emerged</w:t>
      </w:r>
      <w:r w:rsidR="00754FF2">
        <w:t xml:space="preserve"> from the benchmarking above.</w:t>
      </w:r>
      <w:r w:rsidR="008F75CE">
        <w:t xml:space="preserve"> </w:t>
      </w:r>
      <w:r w:rsidR="00754FF2">
        <w:t xml:space="preserve">  In light of this, </w:t>
      </w:r>
      <w:r w:rsidR="008F75CE">
        <w:t>and the fact that the draft SPD is proposing a single standard for each use class/land use (i.e. it is</w:t>
      </w:r>
      <w:r w:rsidR="00754FF2">
        <w:t xml:space="preserve"> not proposing to define zones</w:t>
      </w:r>
      <w:r w:rsidR="008F75CE">
        <w:t xml:space="preserve"> </w:t>
      </w:r>
      <w:r w:rsidR="00754FF2">
        <w:t xml:space="preserve">and PBSAs on campus for example, might benefit from a different standard to those located in other areas of the district), </w:t>
      </w:r>
      <w:r w:rsidR="008F75CE">
        <w:t>it is considered that there is insufficient evidence to confidently design a standard</w:t>
      </w:r>
      <w:r w:rsidR="00754FF2">
        <w:t xml:space="preserve"> for this land use at this time.  There is a wider debate regarding the desirability of students bringing cars, and management arrangements for controlling and enforcing parking in PBSAs, which is beyond the scope of the SPD.  In addition, there is concern that over-specifying parking standards could encourage greater numbers of students to bring cars, or result in large areas of underutilised land.  </w:t>
      </w:r>
    </w:p>
    <w:p w:rsidR="008F75CE" w:rsidRDefault="00BA1FCD" w:rsidP="00147BEE">
      <w:pPr>
        <w:ind w:left="340" w:hanging="340"/>
      </w:pPr>
      <w:r>
        <w:t xml:space="preserve">2.9 </w:t>
      </w:r>
      <w:r w:rsidR="00754FF2">
        <w:t xml:space="preserve">It is recommended therefore that </w:t>
      </w:r>
      <w:r w:rsidR="008F75CE">
        <w:t xml:space="preserve">each </w:t>
      </w:r>
      <w:r w:rsidR="00754FF2">
        <w:t>PBSA development proposal</w:t>
      </w:r>
      <w:r w:rsidR="008F75CE">
        <w:t xml:space="preserve"> should co</w:t>
      </w:r>
      <w:r w:rsidR="00754FF2">
        <w:t>ntinue to be considered on its own</w:t>
      </w:r>
      <w:r w:rsidR="008F75CE">
        <w:t xml:space="preserve"> merits.   </w:t>
      </w:r>
    </w:p>
    <w:p w:rsidR="0054388B" w:rsidRDefault="0054388B" w:rsidP="000F4F4C">
      <w:pPr>
        <w:rPr>
          <w:b/>
        </w:rPr>
      </w:pPr>
    </w:p>
    <w:p w:rsidR="006F460F" w:rsidRPr="00E44865" w:rsidRDefault="00BA1FCD" w:rsidP="000F4F4C">
      <w:pPr>
        <w:rPr>
          <w:b/>
        </w:rPr>
      </w:pPr>
      <w:r>
        <w:rPr>
          <w:b/>
        </w:rPr>
        <w:lastRenderedPageBreak/>
        <w:t xml:space="preserve">2.10 </w:t>
      </w:r>
      <w:r w:rsidR="00D151A8" w:rsidRPr="00E44865">
        <w:rPr>
          <w:b/>
        </w:rPr>
        <w:t>Summary of key points emerging from the benchmarking exercise</w:t>
      </w:r>
    </w:p>
    <w:p w:rsidR="00D151A8" w:rsidRDefault="00D151A8" w:rsidP="00D151A8">
      <w:pPr>
        <w:pStyle w:val="ListParagraph"/>
        <w:numPr>
          <w:ilvl w:val="0"/>
          <w:numId w:val="6"/>
        </w:numPr>
      </w:pPr>
      <w:r>
        <w:t xml:space="preserve">Nearly all of the examples reviewed that were adopted post NPPF set out </w:t>
      </w:r>
      <w:r w:rsidRPr="00E44865">
        <w:rPr>
          <w:u w:val="single"/>
        </w:rPr>
        <w:t>minimum</w:t>
      </w:r>
      <w:r>
        <w:t xml:space="preserve"> residential parking standards.</w:t>
      </w:r>
    </w:p>
    <w:p w:rsidR="00D151A8" w:rsidRDefault="00D151A8" w:rsidP="00D151A8">
      <w:pPr>
        <w:pStyle w:val="ListParagraph"/>
        <w:numPr>
          <w:ilvl w:val="0"/>
          <w:numId w:val="6"/>
        </w:numPr>
      </w:pPr>
      <w:r>
        <w:t xml:space="preserve">All of the minimum residential parking standards are </w:t>
      </w:r>
      <w:r w:rsidR="00E44865">
        <w:t xml:space="preserve">equal to or (more commonly) </w:t>
      </w:r>
      <w:r>
        <w:t>greater than the maximum parking standards set out in WDC’s 2007 Vehicle Parking SPD.</w:t>
      </w:r>
    </w:p>
    <w:p w:rsidR="001F6FC4" w:rsidRDefault="00D151A8" w:rsidP="00E44865">
      <w:pPr>
        <w:pStyle w:val="ListParagraph"/>
        <w:numPr>
          <w:ilvl w:val="0"/>
          <w:numId w:val="6"/>
        </w:numPr>
      </w:pPr>
      <w:r>
        <w:t>The majority of exampl</w:t>
      </w:r>
      <w:r w:rsidR="00AD559B">
        <w:t>es reviewed make</w:t>
      </w:r>
      <w:r>
        <w:t xml:space="preserve"> specific provision for unallocated/visitor parking on a per dwelling basis</w:t>
      </w:r>
      <w:r w:rsidR="00AD559B">
        <w:t>.  This is</w:t>
      </w:r>
      <w:r>
        <w:t xml:space="preserve"> in addition to the allocated (usually on plot) provision.</w:t>
      </w:r>
      <w:r w:rsidR="001F6FC4">
        <w:t xml:space="preserve">  </w:t>
      </w:r>
    </w:p>
    <w:p w:rsidR="00E44865" w:rsidRDefault="001F6FC4" w:rsidP="00E44865">
      <w:pPr>
        <w:pStyle w:val="ListParagraph"/>
        <w:numPr>
          <w:ilvl w:val="0"/>
          <w:numId w:val="6"/>
        </w:numPr>
      </w:pPr>
      <w:r>
        <w:t xml:space="preserve"> </w:t>
      </w:r>
      <w:r w:rsidR="00AD559B">
        <w:t>Garages are specifically excluded from inclusion in the parking standards in Wychavon, Northamptonshire and Stratford as all of these documents identify that garages are more commonly used for other purposes.</w:t>
      </w:r>
    </w:p>
    <w:p w:rsidR="00754FF2" w:rsidRDefault="00754FF2" w:rsidP="00E44865">
      <w:pPr>
        <w:pStyle w:val="ListParagraph"/>
        <w:numPr>
          <w:ilvl w:val="0"/>
          <w:numId w:val="6"/>
        </w:numPr>
      </w:pPr>
      <w:r>
        <w:t>There is significant variation in standards relating to PBSAs.</w:t>
      </w:r>
    </w:p>
    <w:p w:rsidR="009838DA" w:rsidRDefault="009838DA" w:rsidP="009838DA"/>
    <w:p w:rsidR="001553CB" w:rsidRDefault="001553CB" w:rsidP="009838DA">
      <w:pPr>
        <w:rPr>
          <w:b/>
          <w:sz w:val="28"/>
          <w:szCs w:val="28"/>
        </w:rPr>
      </w:pPr>
    </w:p>
    <w:p w:rsidR="005E3785" w:rsidRPr="005E3785" w:rsidRDefault="005E3785" w:rsidP="009838DA">
      <w:pPr>
        <w:rPr>
          <w:b/>
          <w:sz w:val="28"/>
          <w:szCs w:val="28"/>
        </w:rPr>
      </w:pPr>
      <w:r w:rsidRPr="005E3785">
        <w:rPr>
          <w:b/>
          <w:sz w:val="28"/>
          <w:szCs w:val="28"/>
        </w:rPr>
        <w:t>Literature review</w:t>
      </w:r>
    </w:p>
    <w:p w:rsidR="005E3785" w:rsidRDefault="00BA1FCD" w:rsidP="00147BEE">
      <w:pPr>
        <w:ind w:left="340" w:hanging="340"/>
      </w:pPr>
      <w:r>
        <w:t xml:space="preserve">2.11 </w:t>
      </w:r>
      <w:r w:rsidR="00386088">
        <w:t xml:space="preserve">A number of studies and examples from other areas have been reviewed as part of the process of drafting the </w:t>
      </w:r>
      <w:r w:rsidR="00386088" w:rsidRPr="009C7DAF">
        <w:t>Parking</w:t>
      </w:r>
      <w:r w:rsidR="00386088">
        <w:t xml:space="preserve"> SPD, in order to get a complete picture of the updated evidence and best practice since the 2007 Vehicle Parking Standards were adopted.  A full list is included in the bibliography.   </w:t>
      </w:r>
    </w:p>
    <w:p w:rsidR="00600D50" w:rsidRPr="00600D50" w:rsidRDefault="00BA1FCD" w:rsidP="00147BEE">
      <w:pPr>
        <w:ind w:left="340" w:hanging="340"/>
      </w:pPr>
      <w:r>
        <w:t xml:space="preserve">2.12 </w:t>
      </w:r>
      <w:r w:rsidR="00600D50" w:rsidRPr="00600D50">
        <w:t xml:space="preserve">With the adoption of the NPPF (2012) there has been a significant shift in national policy and advice in respect of car and vehicle parking.  Before the NPPF, national policy required </w:t>
      </w:r>
      <w:r w:rsidR="00600D50" w:rsidRPr="00600D50">
        <w:rPr>
          <w:i/>
        </w:rPr>
        <w:t xml:space="preserve">maximum </w:t>
      </w:r>
      <w:r w:rsidR="00600D50" w:rsidRPr="00600D50">
        <w:t>parking standards, aimed at limiting car ownership with a view to encouraging alternative modes of travel.  Current national policy and guidance</w:t>
      </w:r>
      <w:r w:rsidR="0029770B">
        <w:t xml:space="preserve"> (the NPPF and the Ministerial Statement, March 2015)</w:t>
      </w:r>
      <w:r w:rsidR="00600D50" w:rsidRPr="00600D50">
        <w:t xml:space="preserve"> recognises tha</w:t>
      </w:r>
      <w:r w:rsidR="00023B21">
        <w:t>t this approach in isolation had</w:t>
      </w:r>
      <w:r w:rsidR="00600D50" w:rsidRPr="00600D50">
        <w:t xml:space="preserve"> little/no impact on car ownership, and has instead often created issues and tensions in neighbourhoods where parking provision does not meet demand.  </w:t>
      </w:r>
    </w:p>
    <w:p w:rsidR="00023B21" w:rsidRDefault="00BA1FCD" w:rsidP="00147BEE">
      <w:pPr>
        <w:ind w:left="340" w:hanging="340"/>
      </w:pPr>
      <w:r>
        <w:t xml:space="preserve">2.13 </w:t>
      </w:r>
      <w:r w:rsidR="0029770B">
        <w:t>In light of the above, new parking standards should not be designed to be restrictive, and it is considered likely that the 2007 (i.e. pre-NPPF) Warwick DC parking standards may be revised upward, with a view to meeting the higher than average demand evidenced by the car ownership data</w:t>
      </w:r>
      <w:r w:rsidR="00386088">
        <w:t xml:space="preserve">.  </w:t>
      </w:r>
    </w:p>
    <w:p w:rsidR="00866B75" w:rsidRDefault="00BA1FCD" w:rsidP="00147BEE">
      <w:pPr>
        <w:ind w:left="340" w:hanging="340"/>
      </w:pPr>
      <w:r>
        <w:t xml:space="preserve">2.14 </w:t>
      </w:r>
      <w:r w:rsidR="00386088">
        <w:t>Key publications including Manual for Streets</w:t>
      </w:r>
      <w:r w:rsidR="00023B21">
        <w:t xml:space="preserve"> (2007)</w:t>
      </w:r>
      <w:r w:rsidR="00386088">
        <w:t xml:space="preserve"> highlight the relative efficiency of unallocated on street car parking relative to allocated on plot parking.  In summary, unallocated </w:t>
      </w:r>
      <w:r w:rsidR="00023B21">
        <w:t xml:space="preserve">parking </w:t>
      </w:r>
      <w:r w:rsidR="00386088">
        <w:t xml:space="preserve">is more efficient in terms of use because it is </w:t>
      </w:r>
      <w:r w:rsidR="00866B75">
        <w:t xml:space="preserve">flexible – i.e. it is </w:t>
      </w:r>
      <w:r w:rsidR="00386088">
        <w:t>ava</w:t>
      </w:r>
      <w:r w:rsidR="00866B75">
        <w:t>ilable</w:t>
      </w:r>
      <w:r w:rsidR="00386088">
        <w:t xml:space="preserve"> to all</w:t>
      </w:r>
      <w:r w:rsidR="00866B75">
        <w:t xml:space="preserve"> to use at the time of need, and</w:t>
      </w:r>
      <w:r w:rsidR="00247928">
        <w:t xml:space="preserve"> not held empty in reserve for </w:t>
      </w:r>
      <w:r w:rsidR="00866B75">
        <w:t xml:space="preserve">particular residents.  In contrast, an on plot parking space dedicated to a particular property cannot be habitually used by </w:t>
      </w:r>
      <w:r w:rsidR="00866B75">
        <w:lastRenderedPageBreak/>
        <w:t>others when the occupier is not parked there.  Whilst this is well rehearsed and accepted, it is also acknowledged that there is significant market demand for on plot parking in residential development.  As such, the SPD will set requirements for a mixture of both allocated and unallocated parking spaces.  This reflects the pragmatic conclusions of the research contained within ‘Space to Park’, which surveyed numerous residential developments in respect of parking.</w:t>
      </w:r>
    </w:p>
    <w:p w:rsidR="00BD7DF4" w:rsidRDefault="00BA1FCD" w:rsidP="00147BEE">
      <w:pPr>
        <w:ind w:hanging="340"/>
      </w:pPr>
      <w:r>
        <w:t xml:space="preserve">2.15 </w:t>
      </w:r>
      <w:r w:rsidR="00866B75">
        <w:t xml:space="preserve">The benchmarking exercise set out above </w:t>
      </w:r>
      <w:r w:rsidR="00247928">
        <w:t xml:space="preserve">(table 1-4) </w:t>
      </w:r>
      <w:r w:rsidR="00866B75">
        <w:t>illustrates that many of the adopted standards reviewed include a standard for unallocated parking on a per dwelling</w:t>
      </w:r>
      <w:r w:rsidR="00386088">
        <w:t xml:space="preserve"> </w:t>
      </w:r>
      <w:r w:rsidR="00247928">
        <w:t>basis.  Table 1-4</w:t>
      </w:r>
      <w:r w:rsidR="00866B75">
        <w:t xml:space="preserve"> illustrates a range from 0.2 unallocated spaces per dwelling across the site to 1 unallocated space per dwelling, regardless of the size (no. of bedrooms) of the property.  ‘Space to Park’ research concluded </w:t>
      </w:r>
      <w:r w:rsidR="00BD7DF4">
        <w:t xml:space="preserve">with a recommendation </w:t>
      </w:r>
      <w:r w:rsidR="00866B75">
        <w:t>that 20% of the overall parking provision on new develop</w:t>
      </w:r>
      <w:r w:rsidR="00BD7DF4">
        <w:t>ments should be unallocated.  Taking this information together, it is proposed that the SPD should provide for 20% of the number of allocated parking spaces to be provided unallocated across the site.  This, it is concluded allows for better response to the housing mix of a development, which it is proposed (see Table 1 of the SPD), would directly impact on the number of allocated parking spaces.</w:t>
      </w:r>
    </w:p>
    <w:p w:rsidR="00023B21" w:rsidRDefault="00BA1FCD" w:rsidP="00147BEE">
      <w:pPr>
        <w:ind w:hanging="340"/>
      </w:pPr>
      <w:r>
        <w:t xml:space="preserve">2.16 </w:t>
      </w:r>
      <w:r w:rsidR="00BD7DF4">
        <w:t>Another key conclusion of the ‘Space to Park’ research was that cars were regularly parked in places where parking was not intended, and conversely that defined parking spaces were vacant in places.  This relates to the perceived convenience and attractiveness of the relevant parking space</w:t>
      </w:r>
      <w:r w:rsidR="00023B21">
        <w:t>.  This can be attributed to two layout principles:</w:t>
      </w:r>
    </w:p>
    <w:p w:rsidR="00023B21" w:rsidRDefault="00023B21" w:rsidP="00147BEE">
      <w:pPr>
        <w:pStyle w:val="ListParagraph"/>
        <w:numPr>
          <w:ilvl w:val="0"/>
          <w:numId w:val="25"/>
        </w:numPr>
        <w:ind w:hanging="340"/>
      </w:pPr>
      <w:r>
        <w:t>The</w:t>
      </w:r>
      <w:r w:rsidR="00BD7DF4">
        <w:t xml:space="preserve"> position of the space relative to a property</w:t>
      </w:r>
      <w:r>
        <w:t xml:space="preserve"> - </w:t>
      </w:r>
      <w:r w:rsidR="0029770B">
        <w:t xml:space="preserve">e.g. </w:t>
      </w:r>
      <w:r w:rsidR="00056029">
        <w:t xml:space="preserve">is it close to the entrance? Can residents see their car parked in </w:t>
      </w:r>
      <w:r>
        <w:t xml:space="preserve">the space from the dwelling? </w:t>
      </w:r>
    </w:p>
    <w:p w:rsidR="00023B21" w:rsidRDefault="00023B21" w:rsidP="00147BEE">
      <w:pPr>
        <w:pStyle w:val="ListParagraph"/>
        <w:numPr>
          <w:ilvl w:val="0"/>
          <w:numId w:val="25"/>
        </w:numPr>
        <w:ind w:hanging="340"/>
      </w:pPr>
      <w:r>
        <w:t xml:space="preserve">The dimensions of the space, </w:t>
      </w:r>
      <w:r w:rsidR="00BD7DF4">
        <w:t>and therefore the convenience of getting into t</w:t>
      </w:r>
      <w:r>
        <w:t>he space and out of the vehicle</w:t>
      </w:r>
      <w:r w:rsidR="00056029">
        <w:t xml:space="preserve">.  </w:t>
      </w:r>
    </w:p>
    <w:p w:rsidR="00023B21" w:rsidRDefault="00023B21" w:rsidP="00147BEE">
      <w:pPr>
        <w:pStyle w:val="ListParagraph"/>
        <w:ind w:left="644" w:hanging="340"/>
      </w:pPr>
    </w:p>
    <w:p w:rsidR="00BD7DF4" w:rsidRDefault="00BA1FCD" w:rsidP="00147BEE">
      <w:pPr>
        <w:ind w:hanging="340"/>
      </w:pPr>
      <w:r>
        <w:t xml:space="preserve">2.17 </w:t>
      </w:r>
      <w:r w:rsidR="00056029">
        <w:t>In light of this</w:t>
      </w:r>
      <w:r w:rsidR="00745395">
        <w:t xml:space="preserve"> evidence </w:t>
      </w:r>
      <w:r w:rsidR="00023B21">
        <w:t>and observational</w:t>
      </w:r>
      <w:r w:rsidR="00745395">
        <w:t xml:space="preserve"> evidence </w:t>
      </w:r>
      <w:r w:rsidR="00745395" w:rsidRPr="006F04F5">
        <w:t>(see below)</w:t>
      </w:r>
      <w:r w:rsidR="00056029" w:rsidRPr="006F04F5">
        <w:t>,</w:t>
      </w:r>
      <w:r w:rsidR="00056029">
        <w:t xml:space="preserve"> it is concluded that the new SPD should address design principles associated with the design and layout of parking provision.</w:t>
      </w:r>
    </w:p>
    <w:p w:rsidR="00AF4B57" w:rsidRDefault="00AF4B57" w:rsidP="00023B21">
      <w:pPr>
        <w:rPr>
          <w:b/>
          <w:sz w:val="28"/>
          <w:szCs w:val="28"/>
        </w:rPr>
      </w:pPr>
    </w:p>
    <w:p w:rsidR="00FB617E" w:rsidRDefault="00FB617E" w:rsidP="00023B21">
      <w:pPr>
        <w:rPr>
          <w:b/>
          <w:sz w:val="28"/>
          <w:szCs w:val="28"/>
        </w:rPr>
      </w:pPr>
    </w:p>
    <w:p w:rsidR="00FB617E" w:rsidRDefault="00FB617E" w:rsidP="00023B21">
      <w:pPr>
        <w:rPr>
          <w:b/>
          <w:sz w:val="28"/>
          <w:szCs w:val="28"/>
        </w:rPr>
      </w:pPr>
    </w:p>
    <w:p w:rsidR="00FB617E" w:rsidRDefault="00FB617E" w:rsidP="00023B21">
      <w:pPr>
        <w:rPr>
          <w:b/>
          <w:sz w:val="28"/>
          <w:szCs w:val="28"/>
        </w:rPr>
      </w:pPr>
    </w:p>
    <w:p w:rsidR="00BA1FCD" w:rsidRDefault="00BA1FCD" w:rsidP="00023B21">
      <w:pPr>
        <w:rPr>
          <w:b/>
          <w:sz w:val="28"/>
          <w:szCs w:val="28"/>
        </w:rPr>
      </w:pPr>
    </w:p>
    <w:p w:rsidR="00745395" w:rsidRPr="00F25042" w:rsidRDefault="00745395" w:rsidP="00023B21">
      <w:pPr>
        <w:rPr>
          <w:b/>
          <w:sz w:val="28"/>
          <w:szCs w:val="28"/>
        </w:rPr>
      </w:pPr>
      <w:r w:rsidRPr="00AF4B57">
        <w:rPr>
          <w:b/>
          <w:sz w:val="28"/>
          <w:szCs w:val="28"/>
        </w:rPr>
        <w:t>Observational evidence</w:t>
      </w:r>
    </w:p>
    <w:p w:rsidR="00F25042" w:rsidRDefault="00F25042" w:rsidP="009838DA">
      <w:pPr>
        <w:rPr>
          <w:b/>
        </w:rPr>
      </w:pPr>
      <w:r>
        <w:rPr>
          <w:b/>
        </w:rPr>
        <w:t xml:space="preserve">  </w:t>
      </w:r>
    </w:p>
    <w:p w:rsidR="00F25042" w:rsidRDefault="00F25042" w:rsidP="00147BEE">
      <w:pPr>
        <w:ind w:left="340" w:hanging="340"/>
      </w:pPr>
      <w:r>
        <w:rPr>
          <w:b/>
          <w:noProof/>
          <w:lang w:eastAsia="en-GB"/>
        </w:rPr>
        <w:drawing>
          <wp:anchor distT="0" distB="0" distL="114300" distR="114300" simplePos="0" relativeHeight="251660288" behindDoc="0" locked="0" layoutInCell="1" allowOverlap="1" wp14:anchorId="18FFF1E2" wp14:editId="2DEF37E8">
            <wp:simplePos x="0" y="0"/>
            <wp:positionH relativeFrom="column">
              <wp:posOffset>-511810</wp:posOffset>
            </wp:positionH>
            <wp:positionV relativeFrom="paragraph">
              <wp:posOffset>481965</wp:posOffset>
            </wp:positionV>
            <wp:extent cx="3348990" cy="2512060"/>
            <wp:effectExtent l="0" t="635"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 clsparking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48990" cy="2512060"/>
                    </a:xfrm>
                    <a:prstGeom prst="rect">
                      <a:avLst/>
                    </a:prstGeom>
                  </pic:spPr>
                </pic:pic>
              </a:graphicData>
            </a:graphic>
            <wp14:sizeRelH relativeFrom="page">
              <wp14:pctWidth>0</wp14:pctWidth>
            </wp14:sizeRelH>
            <wp14:sizeRelV relativeFrom="page">
              <wp14:pctHeight>0</wp14:pctHeight>
            </wp14:sizeRelV>
          </wp:anchor>
        </w:drawing>
      </w:r>
      <w:r w:rsidR="00BA1FCD">
        <w:t xml:space="preserve">2.18 </w:t>
      </w:r>
      <w:r>
        <w:t>In researching the content of the SPD, officers undertook a number of site visits across the district.  These were undertaken in normal office hours, when it is suggested that any residential parking issues are likely to be less acute (and therefore less obvious) than in the evenings or at weekends when greater numbers of people might be expected to be at home.</w:t>
      </w:r>
    </w:p>
    <w:p w:rsidR="00AF4B57" w:rsidRDefault="00BA1FCD" w:rsidP="00147BEE">
      <w:pPr>
        <w:ind w:left="340" w:hanging="340"/>
      </w:pPr>
      <w:r>
        <w:t xml:space="preserve">2.19 </w:t>
      </w:r>
      <w:r w:rsidR="00F25042">
        <w:t>Whilst no two sites or places visited were the same, examples of developments where the amount of parking appeared to be insufficient were observed</w:t>
      </w:r>
      <w:r w:rsidR="00AF4B57">
        <w:t>.  One example is pictured left, where substantial parking over the footpath was observed.</w:t>
      </w:r>
    </w:p>
    <w:p w:rsidR="00AF4B57" w:rsidRDefault="00AF4B57" w:rsidP="009838DA"/>
    <w:p w:rsidR="00AF4B57" w:rsidRDefault="00AF4B57" w:rsidP="009838DA"/>
    <w:p w:rsidR="00F505F1" w:rsidRDefault="00F505F1" w:rsidP="009838DA"/>
    <w:p w:rsidR="00FB617E" w:rsidRDefault="00FB617E" w:rsidP="009838DA"/>
    <w:p w:rsidR="00FB617E" w:rsidRDefault="00FB617E" w:rsidP="009838DA"/>
    <w:p w:rsidR="00FB617E" w:rsidRDefault="00FB617E" w:rsidP="009838DA"/>
    <w:p w:rsidR="00FB617E" w:rsidRDefault="00FB617E" w:rsidP="009838DA"/>
    <w:p w:rsidR="00FB617E" w:rsidRDefault="00FB617E" w:rsidP="009838DA"/>
    <w:p w:rsidR="00FB617E" w:rsidRDefault="00FB617E" w:rsidP="009838DA"/>
    <w:p w:rsidR="00FB617E" w:rsidRDefault="00FB617E" w:rsidP="009838DA"/>
    <w:p w:rsidR="00FB617E" w:rsidRDefault="00F505F1" w:rsidP="009838DA">
      <w:r>
        <w:rPr>
          <w:noProof/>
          <w:lang w:eastAsia="en-GB"/>
        </w:rPr>
        <w:drawing>
          <wp:anchor distT="0" distB="0" distL="114300" distR="114300" simplePos="0" relativeHeight="251661312" behindDoc="0" locked="0" layoutInCell="1" allowOverlap="1" wp14:anchorId="4CB3FB05" wp14:editId="2FB1CB94">
            <wp:simplePos x="0" y="0"/>
            <wp:positionH relativeFrom="column">
              <wp:posOffset>2275840</wp:posOffset>
            </wp:positionH>
            <wp:positionV relativeFrom="paragraph">
              <wp:posOffset>-57785</wp:posOffset>
            </wp:positionV>
            <wp:extent cx="3264535" cy="2447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mmon on path par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4535" cy="2447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52DBC1A9" wp14:editId="53A14284">
            <wp:simplePos x="0" y="0"/>
            <wp:positionH relativeFrom="column">
              <wp:posOffset>5638800</wp:posOffset>
            </wp:positionH>
            <wp:positionV relativeFrom="paragraph">
              <wp:posOffset>-57785</wp:posOffset>
            </wp:positionV>
            <wp:extent cx="3265170" cy="2447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mmon tandem side park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170" cy="2447925"/>
                    </a:xfrm>
                    <a:prstGeom prst="rect">
                      <a:avLst/>
                    </a:prstGeom>
                  </pic:spPr>
                </pic:pic>
              </a:graphicData>
            </a:graphic>
            <wp14:sizeRelH relativeFrom="page">
              <wp14:pctWidth>0</wp14:pctWidth>
            </wp14:sizeRelH>
            <wp14:sizeRelV relativeFrom="page">
              <wp14:pctHeight>0</wp14:pctHeight>
            </wp14:sizeRelV>
          </wp:anchor>
        </w:drawing>
      </w:r>
      <w:r w:rsidR="00BA1FCD">
        <w:t xml:space="preserve">2.20 </w:t>
      </w:r>
      <w:r w:rsidR="00AF4B57">
        <w:t>In addition to observations regarding the amount of parking, in some developments cars were observed parking in places where they were not intended on the design, whilst conversely designated parking spaces</w:t>
      </w:r>
      <w:r w:rsidR="00841B83">
        <w:t xml:space="preserve"> remained unused.  For example, the recent development pictured right shows a car parked wholly on the footpath rather than being parked on the driveway.  The photograph </w:t>
      </w:r>
      <w:r>
        <w:t>on the left</w:t>
      </w:r>
      <w:r w:rsidR="00841B83">
        <w:t xml:space="preserve"> illustrates that this behaviour was not discreet to one plot, but repeated along the street.</w:t>
      </w:r>
      <w:r w:rsidR="00FB617E">
        <w:t xml:space="preserve">  </w:t>
      </w:r>
    </w:p>
    <w:p w:rsidR="00FB617E" w:rsidRDefault="00FB617E" w:rsidP="009838DA"/>
    <w:p w:rsidR="00FB617E" w:rsidRDefault="00FB617E" w:rsidP="009838DA">
      <w:r>
        <w:rPr>
          <w:noProof/>
          <w:lang w:eastAsia="en-GB"/>
        </w:rPr>
        <w:drawing>
          <wp:anchor distT="0" distB="0" distL="114300" distR="114300" simplePos="0" relativeHeight="251663360" behindDoc="0" locked="0" layoutInCell="1" allowOverlap="1" wp14:anchorId="11E88876" wp14:editId="20C7D057">
            <wp:simplePos x="0" y="0"/>
            <wp:positionH relativeFrom="column">
              <wp:posOffset>-361950</wp:posOffset>
            </wp:positionH>
            <wp:positionV relativeFrom="paragraph">
              <wp:posOffset>227965</wp:posOffset>
            </wp:positionV>
            <wp:extent cx="2583815" cy="1938020"/>
            <wp:effectExtent l="0" t="952" r="6032" b="6033"/>
            <wp:wrapSquare wrapText="bothSides"/>
            <wp:docPr id="8" name="Picture 8" descr="I:\policy\Hayley\Parking standards\images\Site visits 19 Jan 2018\Winn Cls, Kenil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licy\Hayley\Parking standards\images\Site visits 19 Jan 2018\Winn Cls, Kenilwor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8381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FCD">
        <w:t xml:space="preserve">2.21 </w:t>
      </w:r>
      <w:r w:rsidR="005C7375">
        <w:t>The photograph left was taken on the same development as the photograph on the previous page.  Here too, designated spaces were observed unoccupied whilst cars were parked in other unintended positions.  Whilst it was not possible from observation to ascertain the reasons for this, it can be assumed that they are likely to involve reasons of capacity and convenience.  It was also clear on this and other site visits, that visitor parking has not been routinely incorporated into layouts, which might alleviate some of the issue observed in some places.</w:t>
      </w:r>
    </w:p>
    <w:p w:rsidR="00FB617E" w:rsidRDefault="00FB617E" w:rsidP="009838DA"/>
    <w:p w:rsidR="00147BEE" w:rsidRDefault="005C7375" w:rsidP="00147BEE">
      <w:pPr>
        <w:pStyle w:val="ListParagraph"/>
        <w:numPr>
          <w:ilvl w:val="1"/>
          <w:numId w:val="25"/>
        </w:numPr>
      </w:pPr>
      <w:r>
        <w:t>The observations on residential parking reflect</w:t>
      </w:r>
      <w:r w:rsidR="00FB617E">
        <w:t xml:space="preserve"> the points highlighted in the literature review</w:t>
      </w:r>
      <w:r w:rsidR="0030091C">
        <w:t>, and further support</w:t>
      </w:r>
      <w:r w:rsidR="00FB617E">
        <w:t xml:space="preserve"> the conclusion that the SPD should address the dimensions and general position of the spaces relative to the property</w:t>
      </w:r>
      <w:r>
        <w:t>, in addition to the amount of parking provision</w:t>
      </w:r>
      <w:r w:rsidR="00FB617E">
        <w:t>.</w:t>
      </w:r>
    </w:p>
    <w:p w:rsidR="009838DA" w:rsidRPr="00147BEE" w:rsidRDefault="009838DA" w:rsidP="00147BEE">
      <w:r w:rsidRPr="00147BEE">
        <w:rPr>
          <w:b/>
          <w:sz w:val="28"/>
          <w:szCs w:val="28"/>
        </w:rPr>
        <w:lastRenderedPageBreak/>
        <w:t xml:space="preserve">Overall conclusions </w:t>
      </w:r>
      <w:r w:rsidR="00A463E8" w:rsidRPr="00147BEE">
        <w:rPr>
          <w:b/>
          <w:sz w:val="28"/>
          <w:szCs w:val="28"/>
        </w:rPr>
        <w:t xml:space="preserve">regarding </w:t>
      </w:r>
      <w:r w:rsidR="00456592" w:rsidRPr="00147BEE">
        <w:rPr>
          <w:b/>
          <w:sz w:val="28"/>
          <w:szCs w:val="28"/>
        </w:rPr>
        <w:t xml:space="preserve">residential vehicle </w:t>
      </w:r>
      <w:r w:rsidRPr="00147BEE">
        <w:rPr>
          <w:b/>
          <w:sz w:val="28"/>
          <w:szCs w:val="28"/>
        </w:rPr>
        <w:t>parking</w:t>
      </w:r>
    </w:p>
    <w:p w:rsidR="00E44865" w:rsidRDefault="00BA1FCD" w:rsidP="00147BEE">
      <w:pPr>
        <w:ind w:left="340" w:hanging="340"/>
      </w:pPr>
      <w:r>
        <w:t xml:space="preserve">2.23 </w:t>
      </w:r>
      <w:r w:rsidR="009838DA">
        <w:t>Recent residential parking stand</w:t>
      </w:r>
      <w:r w:rsidR="00E44865">
        <w:t>a</w:t>
      </w:r>
      <w:r w:rsidR="009838DA">
        <w:t>r</w:t>
      </w:r>
      <w:r w:rsidR="00E44865">
        <w:t>ds</w:t>
      </w:r>
      <w:r w:rsidR="009838DA">
        <w:t xml:space="preserve"> (2012 onwards)</w:t>
      </w:r>
      <w:r w:rsidR="00E44865">
        <w:t xml:space="preserve"> generally incorporate </w:t>
      </w:r>
      <w:r w:rsidR="00E44865" w:rsidRPr="009838DA">
        <w:rPr>
          <w:i/>
        </w:rPr>
        <w:t>minimum</w:t>
      </w:r>
      <w:r w:rsidR="00E44865">
        <w:t xml:space="preserve"> parking space numbers, which in turn are generally set higher than Warwick DC’s </w:t>
      </w:r>
      <w:r w:rsidR="00276729">
        <w:t xml:space="preserve">2007 </w:t>
      </w:r>
      <w:r w:rsidR="00E44865" w:rsidRPr="009838DA">
        <w:rPr>
          <w:i/>
        </w:rPr>
        <w:t>maximum</w:t>
      </w:r>
      <w:r w:rsidR="009838DA">
        <w:t xml:space="preserve"> standard.  When this evidence</w:t>
      </w:r>
      <w:r w:rsidR="00E44865">
        <w:t xml:space="preserve"> is combined with the</w:t>
      </w:r>
      <w:r w:rsidR="009838DA">
        <w:t xml:space="preserve"> higher than average car ownership figures for</w:t>
      </w:r>
      <w:r w:rsidR="00E44865">
        <w:t xml:space="preserve"> the district, it is concluded that there is clear evidence to justify</w:t>
      </w:r>
      <w:r w:rsidR="00E65F7D">
        <w:t xml:space="preserve"> an increase in the amount of residential parking that should be required from new residential development.</w:t>
      </w:r>
      <w:r w:rsidR="009838DA">
        <w:t xml:space="preserve">  The standards set out in Table 1 of the SPD, have therefore been designed to increase the amount of parking required for residential development proposed in planning applications.</w:t>
      </w:r>
    </w:p>
    <w:p w:rsidR="00276729" w:rsidRDefault="00BA1FCD" w:rsidP="00147BEE">
      <w:pPr>
        <w:ind w:left="340" w:hanging="340"/>
      </w:pPr>
      <w:r>
        <w:t xml:space="preserve">2.24 </w:t>
      </w:r>
      <w:r w:rsidR="00276729">
        <w:t>The standards set out in table 1 aim to accommodate an average demand.  However, in light of variations across the wards of the district, there may be examples where a higher or a lower quantity of parking could be justified in the context of more localised evidence.  These will need to be cons</w:t>
      </w:r>
      <w:r w:rsidR="0029770B">
        <w:t>idered individually on their</w:t>
      </w:r>
      <w:r w:rsidR="00276729">
        <w:t xml:space="preserve"> merits, and take account of the most recent available evidence, as for example car ownership and access to public trans</w:t>
      </w:r>
      <w:r w:rsidR="00687344">
        <w:t>port are not static</w:t>
      </w:r>
      <w:r w:rsidR="00276729">
        <w:t>.</w:t>
      </w:r>
    </w:p>
    <w:p w:rsidR="00216E78" w:rsidRDefault="00216E78" w:rsidP="00E44865">
      <w:pPr>
        <w:rPr>
          <w:b/>
          <w:sz w:val="28"/>
          <w:szCs w:val="28"/>
        </w:rPr>
      </w:pPr>
    </w:p>
    <w:p w:rsidR="00216E78" w:rsidRDefault="00216E78" w:rsidP="00E44865">
      <w:pPr>
        <w:rPr>
          <w:b/>
          <w:sz w:val="28"/>
          <w:szCs w:val="28"/>
        </w:rPr>
      </w:pPr>
    </w:p>
    <w:p w:rsidR="00216E78" w:rsidRDefault="00216E78" w:rsidP="00E44865">
      <w:pPr>
        <w:rPr>
          <w:b/>
          <w:sz w:val="28"/>
          <w:szCs w:val="28"/>
        </w:rPr>
      </w:pPr>
    </w:p>
    <w:p w:rsidR="00881A1B" w:rsidRDefault="00881A1B" w:rsidP="00E44865">
      <w:pPr>
        <w:rPr>
          <w:b/>
          <w:sz w:val="28"/>
          <w:szCs w:val="28"/>
        </w:rPr>
      </w:pPr>
    </w:p>
    <w:p w:rsidR="00881A1B" w:rsidRDefault="00881A1B" w:rsidP="00E44865">
      <w:pPr>
        <w:rPr>
          <w:b/>
          <w:sz w:val="28"/>
          <w:szCs w:val="28"/>
        </w:rPr>
      </w:pPr>
    </w:p>
    <w:p w:rsidR="00881A1B" w:rsidRDefault="00881A1B" w:rsidP="00E44865">
      <w:pPr>
        <w:rPr>
          <w:b/>
          <w:sz w:val="28"/>
          <w:szCs w:val="28"/>
        </w:rPr>
      </w:pPr>
    </w:p>
    <w:p w:rsidR="00881A1B" w:rsidRDefault="00881A1B" w:rsidP="00E44865">
      <w:pPr>
        <w:rPr>
          <w:b/>
          <w:sz w:val="28"/>
          <w:szCs w:val="28"/>
        </w:rPr>
      </w:pPr>
    </w:p>
    <w:p w:rsidR="00881A1B" w:rsidRDefault="00881A1B" w:rsidP="00E44865">
      <w:pPr>
        <w:rPr>
          <w:b/>
          <w:sz w:val="28"/>
          <w:szCs w:val="28"/>
        </w:rPr>
      </w:pPr>
    </w:p>
    <w:p w:rsidR="00881A1B" w:rsidRDefault="00881A1B" w:rsidP="00E44865">
      <w:pPr>
        <w:rPr>
          <w:b/>
          <w:sz w:val="28"/>
          <w:szCs w:val="28"/>
        </w:rPr>
      </w:pPr>
    </w:p>
    <w:p w:rsidR="000675CF" w:rsidRDefault="00147BEE" w:rsidP="00E44865">
      <w:pPr>
        <w:rPr>
          <w:b/>
          <w:sz w:val="28"/>
          <w:szCs w:val="28"/>
        </w:rPr>
      </w:pPr>
      <w:r>
        <w:rPr>
          <w:b/>
          <w:sz w:val="28"/>
          <w:szCs w:val="28"/>
        </w:rPr>
        <w:lastRenderedPageBreak/>
        <w:t xml:space="preserve">3.0 </w:t>
      </w:r>
      <w:r w:rsidR="00216E78">
        <w:rPr>
          <w:b/>
          <w:sz w:val="28"/>
          <w:szCs w:val="28"/>
        </w:rPr>
        <w:t>N</w:t>
      </w:r>
      <w:r w:rsidR="000675CF" w:rsidRPr="000675CF">
        <w:rPr>
          <w:b/>
          <w:sz w:val="28"/>
          <w:szCs w:val="28"/>
        </w:rPr>
        <w:t>on-residential vehicle parking</w:t>
      </w:r>
    </w:p>
    <w:p w:rsidR="000675CF" w:rsidRDefault="000675CF" w:rsidP="00E44865">
      <w:pPr>
        <w:rPr>
          <w:b/>
          <w:sz w:val="28"/>
          <w:szCs w:val="28"/>
        </w:rPr>
      </w:pPr>
    </w:p>
    <w:p w:rsidR="000675CF" w:rsidRDefault="00147BEE" w:rsidP="00147BEE">
      <w:pPr>
        <w:ind w:hanging="340"/>
      </w:pPr>
      <w:r>
        <w:t xml:space="preserve">3.1 </w:t>
      </w:r>
      <w:r w:rsidR="000675CF">
        <w:t>In determining the parking standards proposed in the SPD for each uses, a range of evidence has been considered.  The evidence sources include:</w:t>
      </w:r>
    </w:p>
    <w:p w:rsidR="0095201F" w:rsidRDefault="000675CF" w:rsidP="00147BEE">
      <w:pPr>
        <w:pStyle w:val="ListParagraph"/>
        <w:numPr>
          <w:ilvl w:val="0"/>
          <w:numId w:val="7"/>
        </w:numPr>
        <w:ind w:hanging="340"/>
      </w:pPr>
      <w:r w:rsidRPr="000675CF">
        <w:rPr>
          <w:b/>
        </w:rPr>
        <w:t>Benchmarking</w:t>
      </w:r>
      <w:r w:rsidR="00F54C86">
        <w:t xml:space="preserve"> – Table 2-1 (below) s</w:t>
      </w:r>
      <w:r>
        <w:t>ets out the existing or proposed parking standards for different non-residential use classes in the surrounding area.  This enables direct comparison of parking standards, and serves to highlight where there is consistency and where there is disparity in standards for any given use class.</w:t>
      </w:r>
      <w:r w:rsidR="00387DFD">
        <w:t xml:space="preserve">  The Parking standards selected were chosen because they met the following criteria:</w:t>
      </w:r>
    </w:p>
    <w:p w:rsidR="00387DFD" w:rsidRDefault="00387DFD" w:rsidP="00147BEE">
      <w:pPr>
        <w:pStyle w:val="ListParagraph"/>
        <w:numPr>
          <w:ilvl w:val="0"/>
          <w:numId w:val="10"/>
        </w:numPr>
        <w:ind w:hanging="340"/>
      </w:pPr>
      <w:r>
        <w:t>In the surrounding geographic area to Warwick District (or similar characteristics)</w:t>
      </w:r>
    </w:p>
    <w:p w:rsidR="00387DFD" w:rsidRDefault="00387DFD" w:rsidP="00147BEE">
      <w:pPr>
        <w:pStyle w:val="ListParagraph"/>
        <w:numPr>
          <w:ilvl w:val="0"/>
          <w:numId w:val="10"/>
        </w:numPr>
        <w:ind w:hanging="340"/>
      </w:pPr>
      <w:r>
        <w:t>Drafted/adopted since the publication of the NPPF in 2012, where the national policy approach to car parking provision shifted.</w:t>
      </w:r>
    </w:p>
    <w:p w:rsidR="007C5586" w:rsidRDefault="00147BEE" w:rsidP="00147BEE">
      <w:pPr>
        <w:ind w:hanging="340"/>
      </w:pPr>
      <w:r>
        <w:t xml:space="preserve">3.2 </w:t>
      </w:r>
      <w:r w:rsidR="007C5586">
        <w:t>Furthermore comparison in the benchmarking table is based upon the land uses defined in the 2007 WDC Parking Standards SPD in the interests of consistency.  Local Planning Authorities often group land uses differently within their parking standards.</w:t>
      </w:r>
    </w:p>
    <w:p w:rsidR="000675CF" w:rsidRDefault="000675CF" w:rsidP="00147BEE">
      <w:pPr>
        <w:pStyle w:val="ListParagraph"/>
        <w:numPr>
          <w:ilvl w:val="0"/>
          <w:numId w:val="7"/>
        </w:numPr>
        <w:ind w:hanging="340"/>
      </w:pPr>
      <w:r w:rsidRPr="000675CF">
        <w:rPr>
          <w:b/>
        </w:rPr>
        <w:t>Documentary evidence</w:t>
      </w:r>
      <w:r>
        <w:t xml:space="preserve"> – where relevant documentary evidence exists, this has been used to test parking standards set out in the 2007 Warwick Parking Standards, and where appropriate any proposed changes thereto.</w:t>
      </w:r>
    </w:p>
    <w:p w:rsidR="000675CF" w:rsidRDefault="000675CF" w:rsidP="00147BEE">
      <w:pPr>
        <w:pStyle w:val="ListParagraph"/>
        <w:numPr>
          <w:ilvl w:val="0"/>
          <w:numId w:val="7"/>
        </w:numPr>
        <w:ind w:hanging="340"/>
      </w:pPr>
      <w:r w:rsidRPr="000675CF">
        <w:rPr>
          <w:b/>
        </w:rPr>
        <w:t>Observational evidence</w:t>
      </w:r>
      <w:r>
        <w:t xml:space="preserve"> – as part of the process of drafting the SPD, officers undertook site visits to a number of recent developments.  Where parking provision was observed to be insufficient, this is documented and used to inform any revised parking standard. </w:t>
      </w:r>
    </w:p>
    <w:p w:rsidR="000675CF" w:rsidRDefault="000675CF" w:rsidP="000675CF"/>
    <w:p w:rsidR="001553CB" w:rsidRDefault="001553CB" w:rsidP="000675CF"/>
    <w:p w:rsidR="001553CB" w:rsidRDefault="001553CB" w:rsidP="000675CF"/>
    <w:p w:rsidR="001553CB" w:rsidRDefault="001553CB" w:rsidP="000675CF"/>
    <w:p w:rsidR="001553CB" w:rsidRDefault="001553CB" w:rsidP="000675CF"/>
    <w:p w:rsidR="001553CB" w:rsidRDefault="001553CB" w:rsidP="000675CF"/>
    <w:p w:rsidR="001553CB" w:rsidRDefault="001553CB" w:rsidP="000675CF">
      <w:pPr>
        <w:rPr>
          <w:b/>
          <w:sz w:val="28"/>
          <w:szCs w:val="28"/>
        </w:rPr>
      </w:pPr>
      <w:r w:rsidRPr="001553CB">
        <w:rPr>
          <w:b/>
          <w:sz w:val="28"/>
          <w:szCs w:val="28"/>
        </w:rPr>
        <w:lastRenderedPageBreak/>
        <w:t>Benchmarking against other Local Authority areas</w:t>
      </w:r>
    </w:p>
    <w:p w:rsidR="005B3DE3" w:rsidRDefault="00147BEE" w:rsidP="00147BEE">
      <w:pPr>
        <w:ind w:left="340" w:hanging="340"/>
      </w:pPr>
      <w:r>
        <w:t xml:space="preserve">3.3 </w:t>
      </w:r>
      <w:r w:rsidR="005B3DE3">
        <w:t>In contrast to the residential parking standards benchmarking; which demonstrates a comprehensive shift to minimum parking standards; comparison of non-residential parking standards (of which those in the table below are a few), highlights that there has not been a wholesale shift to minimum standards in these types of development.  Whilst some have moved away from maximum standards, others have consciously continued with maximums as part of their attempts to encourage the use of alternative modes to ‘destinations’.</w:t>
      </w:r>
    </w:p>
    <w:p w:rsidR="005B3DE3" w:rsidRDefault="00147BEE" w:rsidP="00147BEE">
      <w:pPr>
        <w:ind w:left="340" w:hanging="340"/>
      </w:pPr>
      <w:r>
        <w:t xml:space="preserve">3.4 </w:t>
      </w:r>
      <w:r w:rsidR="005B3DE3">
        <w:t>In addition, the benchmarking table below illustrates that for a number of use classes, the method of calculating parking numbers varies.  For example, within D1 use-class some authorities have devised parking spaces based upon FTE job creation whilst others take a ‘per room’ approach</w:t>
      </w:r>
      <w:r w:rsidR="0076358A">
        <w:t>.  Within the C2 use class, parking standards for residential care homes are variously devised by a combination of FTE staff and bedrooms, or simply the number of bedrooms.  This can make direct comparison of standards in some use classes challenging.</w:t>
      </w:r>
    </w:p>
    <w:p w:rsidR="00950A08" w:rsidRDefault="00147BEE" w:rsidP="00147BEE">
      <w:pPr>
        <w:ind w:left="340" w:hanging="340"/>
      </w:pPr>
      <w:r>
        <w:t xml:space="preserve">3.5 </w:t>
      </w:r>
      <w:r w:rsidR="00950A08">
        <w:t>The benchmarking below is based upon the Use –class order, and specific land uses within some use –classes as defined in the 2007 Warwick DC Vehicle Parking Standards.  It should be noted however, that in a number of cases the grouping of specific land uses and the specification of land uses in parking standards varies between different Local Authority Areas.  The variation is most significant in the ‘D’ use classes.</w:t>
      </w:r>
    </w:p>
    <w:p w:rsidR="00F54C86" w:rsidRPr="00F54C86" w:rsidRDefault="00F54C86" w:rsidP="000675CF">
      <w:pPr>
        <w:rPr>
          <w:b/>
        </w:rPr>
      </w:pPr>
      <w:r w:rsidRPr="00F54C86">
        <w:rPr>
          <w:b/>
        </w:rPr>
        <w:t>Table 2-1 Non-residential parking benchmarking</w:t>
      </w:r>
    </w:p>
    <w:tbl>
      <w:tblPr>
        <w:tblStyle w:val="TableGrid"/>
        <w:tblW w:w="14709" w:type="dxa"/>
        <w:tblLayout w:type="fixed"/>
        <w:tblLook w:val="04A0" w:firstRow="1" w:lastRow="0" w:firstColumn="1" w:lastColumn="0" w:noHBand="0" w:noVBand="1"/>
      </w:tblPr>
      <w:tblGrid>
        <w:gridCol w:w="1526"/>
        <w:gridCol w:w="1417"/>
        <w:gridCol w:w="1701"/>
        <w:gridCol w:w="1701"/>
        <w:gridCol w:w="2127"/>
        <w:gridCol w:w="2551"/>
        <w:gridCol w:w="1843"/>
        <w:gridCol w:w="1843"/>
      </w:tblGrid>
      <w:tr w:rsidR="00C20A7E" w:rsidTr="00AA53B6">
        <w:trPr>
          <w:tblHeader/>
        </w:trPr>
        <w:tc>
          <w:tcPr>
            <w:tcW w:w="1526" w:type="dxa"/>
            <w:shd w:val="clear" w:color="auto" w:fill="95B3D7" w:themeFill="accent1" w:themeFillTint="99"/>
          </w:tcPr>
          <w:p w:rsidR="00C20A7E" w:rsidRPr="0097335E" w:rsidRDefault="00C20A7E" w:rsidP="00AA53B6">
            <w:pPr>
              <w:jc w:val="center"/>
              <w:rPr>
                <w:b/>
                <w:color w:val="FFFFFF" w:themeColor="background1"/>
              </w:rPr>
            </w:pPr>
          </w:p>
          <w:p w:rsidR="00C20A7E" w:rsidRPr="0097335E" w:rsidRDefault="00C20A7E" w:rsidP="00AA53B6">
            <w:pPr>
              <w:jc w:val="center"/>
              <w:rPr>
                <w:b/>
                <w:color w:val="FFFFFF" w:themeColor="background1"/>
              </w:rPr>
            </w:pPr>
            <w:r w:rsidRPr="0097335E">
              <w:rPr>
                <w:b/>
                <w:color w:val="FFFFFF" w:themeColor="background1"/>
              </w:rPr>
              <w:t>Land use</w:t>
            </w:r>
          </w:p>
        </w:tc>
        <w:tc>
          <w:tcPr>
            <w:tcW w:w="1417" w:type="dxa"/>
            <w:shd w:val="clear" w:color="auto" w:fill="95B3D7" w:themeFill="accent1" w:themeFillTint="99"/>
          </w:tcPr>
          <w:p w:rsidR="00C20A7E" w:rsidRPr="0097335E" w:rsidRDefault="00C20A7E" w:rsidP="00AA53B6">
            <w:pPr>
              <w:jc w:val="center"/>
              <w:rPr>
                <w:b/>
                <w:color w:val="FFFFFF" w:themeColor="background1"/>
              </w:rPr>
            </w:pPr>
          </w:p>
          <w:p w:rsidR="00C20A7E" w:rsidRPr="0097335E" w:rsidRDefault="00C20A7E" w:rsidP="00AA53B6">
            <w:pPr>
              <w:jc w:val="center"/>
              <w:rPr>
                <w:b/>
                <w:color w:val="FFFFFF" w:themeColor="background1"/>
              </w:rPr>
            </w:pPr>
            <w:r w:rsidRPr="0097335E">
              <w:rPr>
                <w:b/>
                <w:color w:val="FFFFFF" w:themeColor="background1"/>
              </w:rPr>
              <w:t>Subcategory</w:t>
            </w:r>
          </w:p>
        </w:tc>
        <w:tc>
          <w:tcPr>
            <w:tcW w:w="3402" w:type="dxa"/>
            <w:gridSpan w:val="2"/>
            <w:shd w:val="clear" w:color="auto" w:fill="95B3D7" w:themeFill="accent1" w:themeFillTint="99"/>
          </w:tcPr>
          <w:p w:rsidR="00C20A7E" w:rsidRDefault="00C20A7E" w:rsidP="00AA53B6">
            <w:pPr>
              <w:jc w:val="center"/>
              <w:rPr>
                <w:b/>
                <w:color w:val="FFFFFF" w:themeColor="background1"/>
              </w:rPr>
            </w:pPr>
          </w:p>
          <w:p w:rsidR="00C20A7E" w:rsidRDefault="00C20A7E" w:rsidP="00AA53B6">
            <w:pPr>
              <w:jc w:val="center"/>
              <w:rPr>
                <w:b/>
                <w:color w:val="FFFFFF" w:themeColor="background1"/>
              </w:rPr>
            </w:pPr>
            <w:r w:rsidRPr="0097335E">
              <w:rPr>
                <w:b/>
                <w:color w:val="FFFFFF" w:themeColor="background1"/>
              </w:rPr>
              <w:t>Warwick DC (2007)</w:t>
            </w:r>
          </w:p>
          <w:p w:rsidR="00C20A7E" w:rsidRPr="0097335E" w:rsidRDefault="00C20A7E" w:rsidP="00AA53B6">
            <w:pPr>
              <w:jc w:val="center"/>
              <w:rPr>
                <w:b/>
                <w:color w:val="FFFFFF" w:themeColor="background1"/>
              </w:rPr>
            </w:pPr>
            <w:r>
              <w:rPr>
                <w:b/>
                <w:color w:val="FFFFFF" w:themeColor="background1"/>
              </w:rPr>
              <w:t>(expressed as maxima)</w:t>
            </w:r>
          </w:p>
        </w:tc>
        <w:tc>
          <w:tcPr>
            <w:tcW w:w="2127" w:type="dxa"/>
            <w:shd w:val="clear" w:color="auto" w:fill="95B3D7" w:themeFill="accent1" w:themeFillTint="99"/>
          </w:tcPr>
          <w:p w:rsidR="00C20A7E" w:rsidRPr="0097335E" w:rsidRDefault="00C20A7E" w:rsidP="00AA53B6">
            <w:pPr>
              <w:jc w:val="center"/>
              <w:rPr>
                <w:b/>
                <w:color w:val="FFFFFF" w:themeColor="background1"/>
              </w:rPr>
            </w:pPr>
          </w:p>
          <w:p w:rsidR="00C20A7E" w:rsidRPr="0097335E" w:rsidRDefault="00C20A7E" w:rsidP="00AA53B6">
            <w:pPr>
              <w:jc w:val="center"/>
              <w:rPr>
                <w:b/>
                <w:color w:val="FFFFFF" w:themeColor="background1"/>
              </w:rPr>
            </w:pPr>
            <w:r w:rsidRPr="0097335E">
              <w:rPr>
                <w:b/>
                <w:color w:val="FFFFFF" w:themeColor="background1"/>
              </w:rPr>
              <w:t>Northamptonshire</w:t>
            </w:r>
          </w:p>
          <w:p w:rsidR="00C20A7E" w:rsidRDefault="00C20A7E" w:rsidP="00AA53B6">
            <w:pPr>
              <w:jc w:val="center"/>
              <w:rPr>
                <w:b/>
                <w:color w:val="FFFFFF" w:themeColor="background1"/>
              </w:rPr>
            </w:pPr>
            <w:r w:rsidRPr="0097335E">
              <w:rPr>
                <w:b/>
                <w:color w:val="FFFFFF" w:themeColor="background1"/>
              </w:rPr>
              <w:t>(2016 SPD)</w:t>
            </w:r>
          </w:p>
          <w:p w:rsidR="00C20A7E" w:rsidRPr="0097335E" w:rsidRDefault="00C20A7E" w:rsidP="00AA53B6">
            <w:pPr>
              <w:jc w:val="center"/>
              <w:rPr>
                <w:b/>
                <w:color w:val="FFFFFF" w:themeColor="background1"/>
              </w:rPr>
            </w:pPr>
            <w:r>
              <w:rPr>
                <w:b/>
                <w:color w:val="FFFFFF" w:themeColor="background1"/>
              </w:rPr>
              <w:t>(expressed as minima)</w:t>
            </w:r>
          </w:p>
        </w:tc>
        <w:tc>
          <w:tcPr>
            <w:tcW w:w="2551" w:type="dxa"/>
            <w:shd w:val="clear" w:color="auto" w:fill="95B3D7" w:themeFill="accent1" w:themeFillTint="99"/>
          </w:tcPr>
          <w:p w:rsidR="00950A08" w:rsidRDefault="00950A08" w:rsidP="00AA53B6">
            <w:pPr>
              <w:jc w:val="center"/>
              <w:rPr>
                <w:b/>
                <w:color w:val="FFFFFF" w:themeColor="background1"/>
              </w:rPr>
            </w:pPr>
          </w:p>
          <w:p w:rsidR="00C20A7E" w:rsidRDefault="00C20A7E" w:rsidP="00AA53B6">
            <w:pPr>
              <w:jc w:val="center"/>
              <w:rPr>
                <w:b/>
                <w:color w:val="FFFFFF" w:themeColor="background1"/>
              </w:rPr>
            </w:pPr>
            <w:r>
              <w:rPr>
                <w:b/>
                <w:color w:val="FFFFFF" w:themeColor="background1"/>
              </w:rPr>
              <w:t xml:space="preserve">Stratford </w:t>
            </w:r>
          </w:p>
          <w:p w:rsidR="00C20A7E" w:rsidRDefault="00C20A7E" w:rsidP="00AA53B6">
            <w:pPr>
              <w:jc w:val="center"/>
              <w:rPr>
                <w:b/>
                <w:color w:val="FFFFFF" w:themeColor="background1"/>
              </w:rPr>
            </w:pPr>
            <w:r>
              <w:rPr>
                <w:b/>
                <w:color w:val="FFFFFF" w:themeColor="background1"/>
              </w:rPr>
              <w:t>DRAFT REVISIONS 2017</w:t>
            </w:r>
          </w:p>
          <w:p w:rsidR="00C20A7E" w:rsidRDefault="00C20A7E" w:rsidP="00AA53B6">
            <w:pPr>
              <w:jc w:val="center"/>
              <w:rPr>
                <w:b/>
                <w:color w:val="FFFFFF" w:themeColor="background1"/>
              </w:rPr>
            </w:pPr>
            <w:r>
              <w:rPr>
                <w:b/>
                <w:color w:val="FFFFFF" w:themeColor="background1"/>
              </w:rPr>
              <w:t>(approximate)</w:t>
            </w:r>
          </w:p>
        </w:tc>
        <w:tc>
          <w:tcPr>
            <w:tcW w:w="3686" w:type="dxa"/>
            <w:gridSpan w:val="2"/>
            <w:shd w:val="clear" w:color="auto" w:fill="95B3D7" w:themeFill="accent1" w:themeFillTint="99"/>
          </w:tcPr>
          <w:p w:rsidR="00C20A7E" w:rsidRDefault="00C20A7E" w:rsidP="00AA53B6">
            <w:pPr>
              <w:jc w:val="center"/>
              <w:rPr>
                <w:b/>
                <w:color w:val="FFFFFF" w:themeColor="background1"/>
              </w:rPr>
            </w:pPr>
          </w:p>
          <w:p w:rsidR="00C20A7E" w:rsidRDefault="00C20A7E" w:rsidP="00AA53B6">
            <w:pPr>
              <w:jc w:val="center"/>
              <w:rPr>
                <w:b/>
                <w:color w:val="FFFFFF" w:themeColor="background1"/>
              </w:rPr>
            </w:pPr>
            <w:r>
              <w:rPr>
                <w:b/>
                <w:color w:val="FFFFFF" w:themeColor="background1"/>
              </w:rPr>
              <w:t>Rugby Draft LP</w:t>
            </w:r>
          </w:p>
          <w:p w:rsidR="00C20A7E" w:rsidRDefault="00C20A7E" w:rsidP="00AA53B6">
            <w:pPr>
              <w:jc w:val="center"/>
              <w:rPr>
                <w:b/>
                <w:color w:val="FFFFFF" w:themeColor="background1"/>
              </w:rPr>
            </w:pPr>
            <w:r>
              <w:rPr>
                <w:b/>
                <w:color w:val="FFFFFF" w:themeColor="background1"/>
              </w:rPr>
              <w:t>(expressed as maxima)</w:t>
            </w:r>
          </w:p>
        </w:tc>
      </w:tr>
      <w:tr w:rsidR="00C20A7E" w:rsidTr="00AA53B6">
        <w:tc>
          <w:tcPr>
            <w:tcW w:w="1526" w:type="dxa"/>
            <w:shd w:val="clear" w:color="auto" w:fill="F2F2F2" w:themeFill="background1" w:themeFillShade="F2"/>
          </w:tcPr>
          <w:p w:rsidR="00C20A7E" w:rsidRDefault="00C20A7E" w:rsidP="00AA53B6"/>
        </w:tc>
        <w:tc>
          <w:tcPr>
            <w:tcW w:w="1417" w:type="dxa"/>
            <w:shd w:val="clear" w:color="auto" w:fill="F2F2F2" w:themeFill="background1" w:themeFillShade="F2"/>
          </w:tcPr>
          <w:p w:rsidR="00C20A7E" w:rsidRDefault="00C20A7E" w:rsidP="00AA53B6">
            <w:pPr>
              <w:jc w:val="center"/>
            </w:pPr>
          </w:p>
        </w:tc>
        <w:tc>
          <w:tcPr>
            <w:tcW w:w="1701" w:type="dxa"/>
            <w:shd w:val="clear" w:color="auto" w:fill="F2F2F2" w:themeFill="background1" w:themeFillShade="F2"/>
          </w:tcPr>
          <w:p w:rsidR="00C20A7E" w:rsidRDefault="00C20A7E" w:rsidP="0076358A">
            <w:pPr>
              <w:jc w:val="center"/>
            </w:pPr>
            <w:r>
              <w:t>Low accessibility zone</w:t>
            </w:r>
          </w:p>
        </w:tc>
        <w:tc>
          <w:tcPr>
            <w:tcW w:w="1701" w:type="dxa"/>
            <w:shd w:val="clear" w:color="auto" w:fill="F2F2F2" w:themeFill="background1" w:themeFillShade="F2"/>
          </w:tcPr>
          <w:p w:rsidR="00C20A7E" w:rsidRDefault="00C20A7E" w:rsidP="0076358A">
            <w:pPr>
              <w:jc w:val="center"/>
            </w:pPr>
            <w:r>
              <w:t>High Accessibility zone</w:t>
            </w:r>
          </w:p>
        </w:tc>
        <w:tc>
          <w:tcPr>
            <w:tcW w:w="2127" w:type="dxa"/>
            <w:shd w:val="clear" w:color="auto" w:fill="F2F2F2" w:themeFill="background1" w:themeFillShade="F2"/>
          </w:tcPr>
          <w:p w:rsidR="00C20A7E" w:rsidRDefault="00C20A7E" w:rsidP="00AA53B6"/>
        </w:tc>
        <w:tc>
          <w:tcPr>
            <w:tcW w:w="2551" w:type="dxa"/>
            <w:shd w:val="clear" w:color="auto" w:fill="F2F2F2" w:themeFill="background1" w:themeFillShade="F2"/>
          </w:tcPr>
          <w:p w:rsidR="00C20A7E" w:rsidRDefault="00C20A7E" w:rsidP="00AA53B6">
            <w:pPr>
              <w:jc w:val="center"/>
            </w:pPr>
          </w:p>
        </w:tc>
        <w:tc>
          <w:tcPr>
            <w:tcW w:w="1843" w:type="dxa"/>
            <w:shd w:val="clear" w:color="auto" w:fill="F2F2F2" w:themeFill="background1" w:themeFillShade="F2"/>
          </w:tcPr>
          <w:p w:rsidR="00C20A7E" w:rsidRDefault="00C20A7E" w:rsidP="00AA53B6">
            <w:pPr>
              <w:jc w:val="center"/>
            </w:pPr>
            <w:r>
              <w:t>Low access</w:t>
            </w:r>
          </w:p>
        </w:tc>
        <w:tc>
          <w:tcPr>
            <w:tcW w:w="1843" w:type="dxa"/>
            <w:shd w:val="clear" w:color="auto" w:fill="F2F2F2" w:themeFill="background1" w:themeFillShade="F2"/>
          </w:tcPr>
          <w:p w:rsidR="00C20A7E" w:rsidRDefault="00C20A7E" w:rsidP="00AA53B6">
            <w:pPr>
              <w:jc w:val="center"/>
            </w:pPr>
            <w:r>
              <w:t>High Access</w:t>
            </w:r>
          </w:p>
        </w:tc>
      </w:tr>
      <w:tr w:rsidR="00C20A7E" w:rsidTr="00AA53B6">
        <w:tc>
          <w:tcPr>
            <w:tcW w:w="1526" w:type="dxa"/>
          </w:tcPr>
          <w:p w:rsidR="00C20A7E" w:rsidRPr="00A86BA1" w:rsidRDefault="00C20A7E" w:rsidP="00AA53B6">
            <w:pPr>
              <w:rPr>
                <w:b/>
              </w:rPr>
            </w:pPr>
            <w:r w:rsidRPr="00A86BA1">
              <w:rPr>
                <w:b/>
              </w:rPr>
              <w:t>A1</w:t>
            </w:r>
            <w:r>
              <w:rPr>
                <w:b/>
              </w:rPr>
              <w:t xml:space="preserve"> - retail</w:t>
            </w:r>
          </w:p>
          <w:p w:rsidR="00C20A7E" w:rsidRDefault="00C20A7E" w:rsidP="00AA53B6"/>
        </w:tc>
        <w:tc>
          <w:tcPr>
            <w:tcW w:w="1417" w:type="dxa"/>
          </w:tcPr>
          <w:p w:rsidR="00C20A7E" w:rsidRDefault="00C20A7E" w:rsidP="00AA53B6">
            <w:pPr>
              <w:pStyle w:val="ListParagraph"/>
            </w:pPr>
          </w:p>
          <w:p w:rsidR="00C20A7E" w:rsidRDefault="00C20A7E" w:rsidP="00C20A7E">
            <w:pPr>
              <w:pStyle w:val="ListParagraph"/>
              <w:numPr>
                <w:ilvl w:val="0"/>
                <w:numId w:val="22"/>
              </w:numPr>
            </w:pPr>
            <w:r>
              <w:t>Food</w:t>
            </w:r>
          </w:p>
          <w:p w:rsidR="00C20A7E" w:rsidRDefault="00C20A7E" w:rsidP="00AA53B6">
            <w:pPr>
              <w:pStyle w:val="ListParagraph"/>
            </w:pPr>
          </w:p>
          <w:p w:rsidR="00C20A7E" w:rsidRDefault="00C20A7E" w:rsidP="00AA53B6">
            <w:pPr>
              <w:pStyle w:val="ListParagraph"/>
            </w:pPr>
          </w:p>
          <w:p w:rsidR="00C20A7E" w:rsidRDefault="00C20A7E" w:rsidP="00AA53B6">
            <w:pPr>
              <w:pStyle w:val="ListParagraph"/>
            </w:pPr>
          </w:p>
          <w:p w:rsidR="00C20A7E" w:rsidRDefault="00C20A7E" w:rsidP="00AA53B6">
            <w:pPr>
              <w:pStyle w:val="ListParagraph"/>
            </w:pPr>
          </w:p>
          <w:p w:rsidR="00C20A7E" w:rsidRDefault="00C20A7E" w:rsidP="00AA53B6">
            <w:pPr>
              <w:pStyle w:val="ListParagraph"/>
            </w:pPr>
          </w:p>
          <w:p w:rsidR="00C20A7E" w:rsidRDefault="00C20A7E" w:rsidP="00AA53B6">
            <w:pPr>
              <w:pStyle w:val="ListParagraph"/>
            </w:pPr>
          </w:p>
          <w:p w:rsidR="00C20A7E" w:rsidRDefault="00C20A7E" w:rsidP="00C20A7E">
            <w:pPr>
              <w:pStyle w:val="ListParagraph"/>
              <w:numPr>
                <w:ilvl w:val="0"/>
                <w:numId w:val="22"/>
              </w:numPr>
            </w:pPr>
            <w:r>
              <w:t>Non – food</w:t>
            </w:r>
          </w:p>
          <w:p w:rsidR="00C20A7E" w:rsidRDefault="00C20A7E" w:rsidP="00AA53B6"/>
          <w:p w:rsidR="00C20A7E" w:rsidRDefault="00C20A7E" w:rsidP="00AA53B6"/>
        </w:tc>
        <w:tc>
          <w:tcPr>
            <w:tcW w:w="1701" w:type="dxa"/>
          </w:tcPr>
          <w:p w:rsidR="00C20A7E" w:rsidRDefault="00C20A7E" w:rsidP="00AA53B6"/>
          <w:p w:rsidR="00C20A7E" w:rsidRDefault="00C20A7E" w:rsidP="00AA53B6">
            <w:r w:rsidRPr="0053535C">
              <w:t>1/14sq.m</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r>
              <w:t>1/14sq.m</w:t>
            </w:r>
          </w:p>
        </w:tc>
        <w:tc>
          <w:tcPr>
            <w:tcW w:w="1701" w:type="dxa"/>
          </w:tcPr>
          <w:p w:rsidR="00C20A7E" w:rsidRPr="0053535C" w:rsidRDefault="00C20A7E" w:rsidP="00AA53B6"/>
          <w:p w:rsidR="00C20A7E" w:rsidRPr="0053535C" w:rsidRDefault="00C20A7E" w:rsidP="00AA53B6">
            <w:r w:rsidRPr="0053535C">
              <w:t>1/50sq.m</w:t>
            </w:r>
          </w:p>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r w:rsidRPr="0053535C">
              <w:t>1/50sq.m</w:t>
            </w:r>
          </w:p>
        </w:tc>
        <w:tc>
          <w:tcPr>
            <w:tcW w:w="2127" w:type="dxa"/>
          </w:tcPr>
          <w:p w:rsidR="00C20A7E" w:rsidRPr="0053535C" w:rsidRDefault="00C20A7E" w:rsidP="00AA53B6"/>
          <w:p w:rsidR="00C20A7E" w:rsidRPr="0053535C" w:rsidRDefault="00C20A7E" w:rsidP="00AA53B6">
            <w:r w:rsidRPr="0053535C">
              <w:t>1/20sq.m</w:t>
            </w:r>
          </w:p>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r w:rsidRPr="0053535C">
              <w:t>1/25sq.m</w:t>
            </w:r>
          </w:p>
          <w:p w:rsidR="00C20A7E" w:rsidRPr="0053535C" w:rsidRDefault="00C20A7E" w:rsidP="00AA53B6"/>
        </w:tc>
        <w:tc>
          <w:tcPr>
            <w:tcW w:w="2551" w:type="dxa"/>
          </w:tcPr>
          <w:p w:rsidR="00C20A7E" w:rsidRPr="0053535C" w:rsidRDefault="00C20A7E" w:rsidP="00AA53B6"/>
          <w:p w:rsidR="00C20A7E" w:rsidRPr="0053535C" w:rsidRDefault="00C20A7E" w:rsidP="00AA53B6">
            <w:r w:rsidRPr="0053535C">
              <w:t xml:space="preserve">1/15sq.m (up to 500sq.m gross </w:t>
            </w:r>
            <w:proofErr w:type="spellStart"/>
            <w:r w:rsidRPr="0053535C">
              <w:t>floorspace</w:t>
            </w:r>
            <w:proofErr w:type="spellEnd"/>
            <w:r w:rsidRPr="0053535C">
              <w:t>)</w:t>
            </w:r>
          </w:p>
          <w:p w:rsidR="00C20A7E" w:rsidRPr="0053535C" w:rsidRDefault="00C20A7E" w:rsidP="00AA53B6">
            <w:r w:rsidRPr="0053535C">
              <w:t xml:space="preserve">1/10sq.m additional </w:t>
            </w:r>
            <w:proofErr w:type="spellStart"/>
            <w:r w:rsidRPr="0053535C">
              <w:t>floorspace</w:t>
            </w:r>
            <w:proofErr w:type="spellEnd"/>
          </w:p>
          <w:p w:rsidR="00C20A7E" w:rsidRPr="0053535C" w:rsidRDefault="00C20A7E" w:rsidP="00AA53B6"/>
          <w:p w:rsidR="005B3DE3" w:rsidRDefault="005B3DE3" w:rsidP="00AA53B6"/>
          <w:p w:rsidR="005B3DE3" w:rsidRDefault="005B3DE3" w:rsidP="00AA53B6"/>
          <w:p w:rsidR="00C20A7E" w:rsidRPr="0053535C" w:rsidRDefault="00C20A7E" w:rsidP="00AA53B6">
            <w:r w:rsidRPr="0053535C">
              <w:t>1/20sq.m</w:t>
            </w:r>
          </w:p>
        </w:tc>
        <w:tc>
          <w:tcPr>
            <w:tcW w:w="1843" w:type="dxa"/>
          </w:tcPr>
          <w:p w:rsidR="00C20A7E" w:rsidRDefault="00C20A7E" w:rsidP="00AA53B6"/>
          <w:p w:rsidR="00C20A7E" w:rsidRDefault="00C20A7E" w:rsidP="00AA53B6">
            <w:r>
              <w:t>1/14sq.m</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r>
              <w:t>1/20sq.m</w:t>
            </w:r>
          </w:p>
        </w:tc>
        <w:tc>
          <w:tcPr>
            <w:tcW w:w="1843" w:type="dxa"/>
          </w:tcPr>
          <w:p w:rsidR="00C20A7E" w:rsidRDefault="00C20A7E" w:rsidP="00AA53B6"/>
          <w:p w:rsidR="00C20A7E" w:rsidRDefault="00C20A7E" w:rsidP="00AA53B6">
            <w:r>
              <w:t>1/50sq.m</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r>
              <w:t>1/50sq.m</w:t>
            </w:r>
          </w:p>
        </w:tc>
      </w:tr>
      <w:tr w:rsidR="00C20A7E" w:rsidTr="00AA53B6">
        <w:tc>
          <w:tcPr>
            <w:tcW w:w="1526" w:type="dxa"/>
          </w:tcPr>
          <w:p w:rsidR="00C20A7E" w:rsidRDefault="00C20A7E" w:rsidP="00AA53B6">
            <w:pPr>
              <w:rPr>
                <w:b/>
              </w:rPr>
            </w:pPr>
          </w:p>
          <w:p w:rsidR="00C20A7E" w:rsidRDefault="00C20A7E" w:rsidP="00AA53B6">
            <w:pPr>
              <w:rPr>
                <w:b/>
              </w:rPr>
            </w:pPr>
            <w:r w:rsidRPr="00FE713F">
              <w:rPr>
                <w:b/>
              </w:rPr>
              <w:t>A2</w:t>
            </w:r>
            <w:r>
              <w:rPr>
                <w:b/>
              </w:rPr>
              <w:t xml:space="preserve"> - Financial and professional services</w:t>
            </w:r>
          </w:p>
          <w:p w:rsidR="00C20A7E" w:rsidRPr="00FE713F" w:rsidRDefault="00C20A7E" w:rsidP="00AA53B6">
            <w:pPr>
              <w:rPr>
                <w:b/>
              </w:rPr>
            </w:pPr>
          </w:p>
        </w:tc>
        <w:tc>
          <w:tcPr>
            <w:tcW w:w="1417" w:type="dxa"/>
            <w:shd w:val="clear" w:color="auto" w:fill="F2F2F2" w:themeFill="background1" w:themeFillShade="F2"/>
          </w:tcPr>
          <w:p w:rsidR="00C20A7E" w:rsidRDefault="00C20A7E" w:rsidP="00AA53B6"/>
        </w:tc>
        <w:tc>
          <w:tcPr>
            <w:tcW w:w="1701" w:type="dxa"/>
          </w:tcPr>
          <w:p w:rsidR="00C20A7E" w:rsidRPr="0053535C" w:rsidRDefault="00C20A7E" w:rsidP="00AA53B6"/>
          <w:p w:rsidR="00C20A7E" w:rsidRPr="0053535C" w:rsidRDefault="00C20A7E" w:rsidP="00AA53B6">
            <w:r w:rsidRPr="0053535C">
              <w:t>1/25sq.m</w:t>
            </w:r>
          </w:p>
        </w:tc>
        <w:tc>
          <w:tcPr>
            <w:tcW w:w="1701" w:type="dxa"/>
          </w:tcPr>
          <w:p w:rsidR="00C20A7E" w:rsidRPr="0053535C" w:rsidRDefault="00C20A7E" w:rsidP="00AA53B6"/>
          <w:p w:rsidR="00C20A7E" w:rsidRPr="0053535C" w:rsidRDefault="00C20A7E" w:rsidP="00AA53B6">
            <w:r w:rsidRPr="0053535C">
              <w:t>1/50sq.m</w:t>
            </w:r>
          </w:p>
        </w:tc>
        <w:tc>
          <w:tcPr>
            <w:tcW w:w="2127" w:type="dxa"/>
          </w:tcPr>
          <w:p w:rsidR="00C20A7E" w:rsidRPr="0053535C" w:rsidRDefault="00C20A7E" w:rsidP="00AA53B6"/>
          <w:p w:rsidR="00C20A7E" w:rsidRPr="0053535C" w:rsidRDefault="00C20A7E" w:rsidP="00AA53B6">
            <w:r w:rsidRPr="0053535C">
              <w:t>1/25sq.m</w:t>
            </w:r>
          </w:p>
        </w:tc>
        <w:tc>
          <w:tcPr>
            <w:tcW w:w="2551" w:type="dxa"/>
          </w:tcPr>
          <w:p w:rsidR="00C20A7E" w:rsidRPr="0053535C" w:rsidRDefault="00C20A7E" w:rsidP="00AA53B6"/>
          <w:p w:rsidR="00C20A7E" w:rsidRPr="0053535C" w:rsidRDefault="00C20A7E" w:rsidP="00AA53B6">
            <w:r w:rsidRPr="0053535C">
              <w:t>1/20sq.m</w:t>
            </w:r>
          </w:p>
        </w:tc>
        <w:tc>
          <w:tcPr>
            <w:tcW w:w="1843" w:type="dxa"/>
          </w:tcPr>
          <w:p w:rsidR="00C20A7E" w:rsidRDefault="00C20A7E" w:rsidP="00AA53B6"/>
          <w:p w:rsidR="00C20A7E" w:rsidRDefault="00C20A7E" w:rsidP="00AA53B6">
            <w:r>
              <w:t>1/30</w:t>
            </w:r>
          </w:p>
        </w:tc>
        <w:tc>
          <w:tcPr>
            <w:tcW w:w="1843" w:type="dxa"/>
          </w:tcPr>
          <w:p w:rsidR="00C20A7E" w:rsidRDefault="00C20A7E" w:rsidP="00AA53B6"/>
          <w:p w:rsidR="00C20A7E" w:rsidRDefault="00C20A7E" w:rsidP="00AA53B6">
            <w:r>
              <w:t>1/50</w:t>
            </w:r>
          </w:p>
        </w:tc>
      </w:tr>
      <w:tr w:rsidR="00C20A7E" w:rsidTr="00AA53B6">
        <w:tc>
          <w:tcPr>
            <w:tcW w:w="1526" w:type="dxa"/>
          </w:tcPr>
          <w:p w:rsidR="00C20A7E" w:rsidRDefault="00C20A7E" w:rsidP="00AA53B6"/>
          <w:p w:rsidR="00C20A7E" w:rsidRPr="00FE713F" w:rsidRDefault="00C20A7E" w:rsidP="00AA53B6">
            <w:pPr>
              <w:rPr>
                <w:b/>
              </w:rPr>
            </w:pPr>
            <w:r w:rsidRPr="00FE713F">
              <w:rPr>
                <w:b/>
              </w:rPr>
              <w:t>A3</w:t>
            </w:r>
            <w:r>
              <w:rPr>
                <w:b/>
              </w:rPr>
              <w:t xml:space="preserve"> – Restaurants and cafes</w:t>
            </w:r>
          </w:p>
          <w:p w:rsidR="00C20A7E" w:rsidRDefault="00C20A7E" w:rsidP="00AA53B6"/>
        </w:tc>
        <w:tc>
          <w:tcPr>
            <w:tcW w:w="1417" w:type="dxa"/>
            <w:shd w:val="clear" w:color="auto" w:fill="F2F2F2" w:themeFill="background1" w:themeFillShade="F2"/>
          </w:tcPr>
          <w:p w:rsidR="00C20A7E" w:rsidRDefault="00C20A7E" w:rsidP="00AA53B6"/>
        </w:tc>
        <w:tc>
          <w:tcPr>
            <w:tcW w:w="1701" w:type="dxa"/>
          </w:tcPr>
          <w:p w:rsidR="00C20A7E" w:rsidRDefault="00C20A7E" w:rsidP="00AA53B6"/>
          <w:p w:rsidR="00C20A7E" w:rsidRDefault="00C20A7E" w:rsidP="00AA53B6">
            <w:r>
              <w:t>1/20sq.m</w:t>
            </w:r>
          </w:p>
        </w:tc>
        <w:tc>
          <w:tcPr>
            <w:tcW w:w="1701" w:type="dxa"/>
          </w:tcPr>
          <w:p w:rsidR="00C20A7E" w:rsidRDefault="00C20A7E" w:rsidP="00AA53B6"/>
          <w:p w:rsidR="00C20A7E" w:rsidRDefault="00C20A7E" w:rsidP="00AA53B6">
            <w:r>
              <w:t>1/50sq.m</w:t>
            </w:r>
          </w:p>
        </w:tc>
        <w:tc>
          <w:tcPr>
            <w:tcW w:w="2127" w:type="dxa"/>
          </w:tcPr>
          <w:p w:rsidR="00C20A7E" w:rsidRDefault="00C20A7E" w:rsidP="00AA53B6"/>
          <w:p w:rsidR="00C20A7E" w:rsidRDefault="00C20A7E" w:rsidP="00AA53B6">
            <w:r>
              <w:t>1/14sq.m</w:t>
            </w:r>
          </w:p>
        </w:tc>
        <w:tc>
          <w:tcPr>
            <w:tcW w:w="2551" w:type="dxa"/>
          </w:tcPr>
          <w:p w:rsidR="00C20A7E" w:rsidRPr="0053535C" w:rsidRDefault="00C20A7E" w:rsidP="00AA53B6"/>
          <w:p w:rsidR="00C20A7E" w:rsidRPr="0053535C" w:rsidRDefault="00C20A7E" w:rsidP="00AA53B6">
            <w:r w:rsidRPr="0053535C">
              <w:t>1/5sq.m</w:t>
            </w:r>
          </w:p>
        </w:tc>
        <w:tc>
          <w:tcPr>
            <w:tcW w:w="1843" w:type="dxa"/>
          </w:tcPr>
          <w:p w:rsidR="00C20A7E" w:rsidRDefault="00C20A7E" w:rsidP="00AA53B6"/>
          <w:p w:rsidR="00C20A7E" w:rsidRDefault="00C20A7E" w:rsidP="00AA53B6">
            <w:r>
              <w:t>1/5sq.m</w:t>
            </w:r>
          </w:p>
        </w:tc>
        <w:tc>
          <w:tcPr>
            <w:tcW w:w="1843" w:type="dxa"/>
          </w:tcPr>
          <w:p w:rsidR="00C20A7E" w:rsidRDefault="00C20A7E" w:rsidP="00AA53B6"/>
          <w:p w:rsidR="00C20A7E" w:rsidRDefault="00C20A7E" w:rsidP="00AA53B6">
            <w:r>
              <w:t>1/10</w:t>
            </w:r>
          </w:p>
        </w:tc>
      </w:tr>
      <w:tr w:rsidR="00C20A7E" w:rsidTr="00AA53B6">
        <w:tc>
          <w:tcPr>
            <w:tcW w:w="1526" w:type="dxa"/>
          </w:tcPr>
          <w:p w:rsidR="00C20A7E" w:rsidRDefault="00C20A7E" w:rsidP="00AA53B6"/>
          <w:p w:rsidR="00C20A7E" w:rsidRPr="00FE713F" w:rsidRDefault="00C20A7E" w:rsidP="00AA53B6">
            <w:pPr>
              <w:rPr>
                <w:b/>
              </w:rPr>
            </w:pPr>
            <w:r w:rsidRPr="00FE713F">
              <w:rPr>
                <w:b/>
              </w:rPr>
              <w:t>A4</w:t>
            </w:r>
            <w:r>
              <w:rPr>
                <w:b/>
              </w:rPr>
              <w:t xml:space="preserve"> – Drinking establishments</w:t>
            </w:r>
          </w:p>
          <w:p w:rsidR="00C20A7E" w:rsidRDefault="00C20A7E" w:rsidP="00AA53B6"/>
        </w:tc>
        <w:tc>
          <w:tcPr>
            <w:tcW w:w="1417" w:type="dxa"/>
            <w:shd w:val="clear" w:color="auto" w:fill="F2F2F2" w:themeFill="background1" w:themeFillShade="F2"/>
          </w:tcPr>
          <w:p w:rsidR="00C20A7E" w:rsidRDefault="00C20A7E" w:rsidP="00AA53B6"/>
        </w:tc>
        <w:tc>
          <w:tcPr>
            <w:tcW w:w="1701" w:type="dxa"/>
          </w:tcPr>
          <w:p w:rsidR="00C20A7E" w:rsidRDefault="00C20A7E" w:rsidP="00AA53B6"/>
          <w:p w:rsidR="00C20A7E" w:rsidRDefault="00C20A7E" w:rsidP="00AA53B6">
            <w:r>
              <w:t>1/20sq.m</w:t>
            </w:r>
          </w:p>
        </w:tc>
        <w:tc>
          <w:tcPr>
            <w:tcW w:w="1701" w:type="dxa"/>
          </w:tcPr>
          <w:p w:rsidR="00C20A7E" w:rsidRDefault="00C20A7E" w:rsidP="00AA53B6"/>
          <w:p w:rsidR="00C20A7E" w:rsidRDefault="00C20A7E" w:rsidP="00AA53B6">
            <w:r>
              <w:t>1/50sq.m</w:t>
            </w:r>
          </w:p>
        </w:tc>
        <w:tc>
          <w:tcPr>
            <w:tcW w:w="2127" w:type="dxa"/>
          </w:tcPr>
          <w:p w:rsidR="00C20A7E" w:rsidRDefault="00C20A7E" w:rsidP="00AA53B6"/>
          <w:p w:rsidR="00C20A7E" w:rsidRDefault="00C20A7E" w:rsidP="00AA53B6">
            <w:r>
              <w:t>1/14sq.m</w:t>
            </w:r>
          </w:p>
        </w:tc>
        <w:tc>
          <w:tcPr>
            <w:tcW w:w="2551" w:type="dxa"/>
          </w:tcPr>
          <w:p w:rsidR="00C20A7E" w:rsidRPr="0053535C" w:rsidRDefault="00C20A7E" w:rsidP="00AA53B6"/>
          <w:p w:rsidR="00C20A7E" w:rsidRPr="0053535C" w:rsidRDefault="00C20A7E" w:rsidP="00AA53B6">
            <w:r w:rsidRPr="0053535C">
              <w:t>1/5sq.m</w:t>
            </w:r>
          </w:p>
        </w:tc>
        <w:tc>
          <w:tcPr>
            <w:tcW w:w="1843" w:type="dxa"/>
          </w:tcPr>
          <w:p w:rsidR="00C20A7E" w:rsidRDefault="00C20A7E" w:rsidP="00AA53B6"/>
          <w:p w:rsidR="00C20A7E" w:rsidRDefault="00C20A7E" w:rsidP="00AA53B6">
            <w:pPr>
              <w:jc w:val="center"/>
            </w:pPr>
            <w:r>
              <w:t>-</w:t>
            </w:r>
          </w:p>
        </w:tc>
        <w:tc>
          <w:tcPr>
            <w:tcW w:w="1843" w:type="dxa"/>
          </w:tcPr>
          <w:p w:rsidR="00C20A7E" w:rsidRDefault="00C20A7E" w:rsidP="00AA53B6">
            <w:pPr>
              <w:jc w:val="center"/>
            </w:pPr>
          </w:p>
          <w:p w:rsidR="00C20A7E" w:rsidRDefault="00C20A7E" w:rsidP="00AA53B6">
            <w:pPr>
              <w:jc w:val="center"/>
            </w:pPr>
            <w:r>
              <w:t>-</w:t>
            </w:r>
          </w:p>
        </w:tc>
      </w:tr>
      <w:tr w:rsidR="00C20A7E" w:rsidTr="00AA53B6">
        <w:tc>
          <w:tcPr>
            <w:tcW w:w="1526" w:type="dxa"/>
          </w:tcPr>
          <w:p w:rsidR="00C20A7E" w:rsidRDefault="00C20A7E" w:rsidP="00AA53B6"/>
          <w:p w:rsidR="00C20A7E" w:rsidRPr="0053535C" w:rsidRDefault="00C20A7E" w:rsidP="00AA53B6">
            <w:pPr>
              <w:rPr>
                <w:b/>
              </w:rPr>
            </w:pPr>
            <w:r w:rsidRPr="00FE713F">
              <w:rPr>
                <w:b/>
              </w:rPr>
              <w:t xml:space="preserve">A5 </w:t>
            </w:r>
            <w:r>
              <w:rPr>
                <w:b/>
              </w:rPr>
              <w:t>– Hot food takeaway</w:t>
            </w:r>
          </w:p>
        </w:tc>
        <w:tc>
          <w:tcPr>
            <w:tcW w:w="1417" w:type="dxa"/>
            <w:shd w:val="clear" w:color="auto" w:fill="F2F2F2" w:themeFill="background1" w:themeFillShade="F2"/>
          </w:tcPr>
          <w:p w:rsidR="00C20A7E" w:rsidRDefault="00C20A7E" w:rsidP="00AA53B6"/>
        </w:tc>
        <w:tc>
          <w:tcPr>
            <w:tcW w:w="1701" w:type="dxa"/>
          </w:tcPr>
          <w:p w:rsidR="00C20A7E" w:rsidRDefault="00C20A7E" w:rsidP="00AA53B6"/>
          <w:p w:rsidR="00C20A7E" w:rsidRDefault="00C20A7E" w:rsidP="00AA53B6">
            <w:r>
              <w:t>1/20sq.m</w:t>
            </w:r>
          </w:p>
        </w:tc>
        <w:tc>
          <w:tcPr>
            <w:tcW w:w="1701" w:type="dxa"/>
          </w:tcPr>
          <w:p w:rsidR="00C20A7E" w:rsidRDefault="00C20A7E" w:rsidP="00AA53B6"/>
          <w:p w:rsidR="00C20A7E" w:rsidRDefault="00C20A7E" w:rsidP="00AA53B6">
            <w:r>
              <w:t>1/50sq.m</w:t>
            </w:r>
          </w:p>
        </w:tc>
        <w:tc>
          <w:tcPr>
            <w:tcW w:w="2127" w:type="dxa"/>
          </w:tcPr>
          <w:p w:rsidR="00C20A7E" w:rsidRDefault="00C20A7E" w:rsidP="00AA53B6"/>
          <w:p w:rsidR="00C20A7E" w:rsidRDefault="00C20A7E" w:rsidP="00AA53B6">
            <w:r>
              <w:t>1/20sq.m</w:t>
            </w:r>
          </w:p>
        </w:tc>
        <w:tc>
          <w:tcPr>
            <w:tcW w:w="2551" w:type="dxa"/>
          </w:tcPr>
          <w:p w:rsidR="00C20A7E" w:rsidRDefault="00C20A7E" w:rsidP="00AA53B6"/>
          <w:p w:rsidR="00C20A7E" w:rsidRDefault="00C20A7E" w:rsidP="00AA53B6">
            <w:r>
              <w:t>1/5sq.m</w:t>
            </w:r>
          </w:p>
        </w:tc>
        <w:tc>
          <w:tcPr>
            <w:tcW w:w="1843" w:type="dxa"/>
          </w:tcPr>
          <w:p w:rsidR="00C20A7E" w:rsidRDefault="00C20A7E" w:rsidP="00AA53B6"/>
          <w:p w:rsidR="00C20A7E" w:rsidRDefault="00C20A7E" w:rsidP="00AA53B6">
            <w:pPr>
              <w:jc w:val="center"/>
            </w:pPr>
            <w:r>
              <w:t>-</w:t>
            </w:r>
          </w:p>
        </w:tc>
        <w:tc>
          <w:tcPr>
            <w:tcW w:w="1843" w:type="dxa"/>
          </w:tcPr>
          <w:p w:rsidR="00C20A7E" w:rsidRDefault="00C20A7E" w:rsidP="00AA53B6"/>
          <w:p w:rsidR="00C20A7E" w:rsidRDefault="00C20A7E" w:rsidP="00AA53B6">
            <w:pPr>
              <w:jc w:val="center"/>
            </w:pPr>
            <w:r>
              <w:t>-</w:t>
            </w:r>
          </w:p>
        </w:tc>
      </w:tr>
      <w:tr w:rsidR="00C20A7E" w:rsidTr="00AA53B6">
        <w:tc>
          <w:tcPr>
            <w:tcW w:w="1526" w:type="dxa"/>
          </w:tcPr>
          <w:p w:rsidR="00C20A7E" w:rsidRDefault="00C20A7E" w:rsidP="00AA53B6">
            <w:pPr>
              <w:rPr>
                <w:b/>
              </w:rPr>
            </w:pPr>
          </w:p>
          <w:p w:rsidR="00C20A7E" w:rsidRDefault="00C20A7E" w:rsidP="00AA53B6">
            <w:pPr>
              <w:rPr>
                <w:b/>
              </w:rPr>
            </w:pPr>
            <w:r w:rsidRPr="00F63D76">
              <w:rPr>
                <w:b/>
              </w:rPr>
              <w:t>B1</w:t>
            </w:r>
            <w:r>
              <w:rPr>
                <w:b/>
              </w:rPr>
              <w:t xml:space="preserve"> - Business</w:t>
            </w:r>
          </w:p>
          <w:p w:rsidR="00C20A7E" w:rsidRPr="00F63D76" w:rsidRDefault="00C20A7E" w:rsidP="00AA53B6">
            <w:pPr>
              <w:rPr>
                <w:b/>
              </w:rPr>
            </w:pPr>
          </w:p>
        </w:tc>
        <w:tc>
          <w:tcPr>
            <w:tcW w:w="1417" w:type="dxa"/>
          </w:tcPr>
          <w:p w:rsidR="00C20A7E" w:rsidRDefault="00C20A7E" w:rsidP="00AA53B6"/>
          <w:p w:rsidR="00C20A7E" w:rsidRDefault="00C20A7E" w:rsidP="00C20A7E">
            <w:pPr>
              <w:pStyle w:val="ListParagraph"/>
              <w:numPr>
                <w:ilvl w:val="0"/>
                <w:numId w:val="22"/>
              </w:numPr>
            </w:pPr>
            <w:r>
              <w:t>B1(a)</w:t>
            </w:r>
            <w:r>
              <w:lastRenderedPageBreak/>
              <w:t>Offices</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C20A7E">
            <w:pPr>
              <w:pStyle w:val="ListParagraph"/>
              <w:numPr>
                <w:ilvl w:val="0"/>
                <w:numId w:val="22"/>
              </w:numPr>
            </w:pPr>
            <w:r>
              <w:t>B1(b) Research and development</w:t>
            </w:r>
          </w:p>
          <w:p w:rsidR="00C20A7E" w:rsidRDefault="00C20A7E" w:rsidP="00AA53B6">
            <w:pPr>
              <w:pStyle w:val="ListParagraph"/>
            </w:pPr>
          </w:p>
          <w:p w:rsidR="00C20A7E" w:rsidRDefault="00C20A7E" w:rsidP="00AA53B6">
            <w:pPr>
              <w:pStyle w:val="ListParagraph"/>
            </w:pPr>
          </w:p>
          <w:p w:rsidR="00C20A7E" w:rsidRDefault="00C20A7E" w:rsidP="00C20A7E">
            <w:pPr>
              <w:pStyle w:val="ListParagraph"/>
              <w:numPr>
                <w:ilvl w:val="0"/>
                <w:numId w:val="22"/>
              </w:numPr>
            </w:pPr>
            <w:r>
              <w:t>B1(c) Light industrial</w:t>
            </w:r>
          </w:p>
        </w:tc>
        <w:tc>
          <w:tcPr>
            <w:tcW w:w="1701" w:type="dxa"/>
          </w:tcPr>
          <w:p w:rsidR="00C20A7E" w:rsidRDefault="00C20A7E" w:rsidP="00AA53B6"/>
          <w:p w:rsidR="00C20A7E" w:rsidRPr="0053535C" w:rsidRDefault="00C20A7E" w:rsidP="00AA53B6">
            <w:r w:rsidRPr="0053535C">
              <w:t xml:space="preserve">1/30sq.m </w:t>
            </w:r>
          </w:p>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C20A7E" w:rsidRPr="0053535C" w:rsidRDefault="00C20A7E" w:rsidP="00AA53B6"/>
          <w:p w:rsidR="005B3DE3" w:rsidRDefault="005B3DE3" w:rsidP="00AA53B6"/>
          <w:p w:rsidR="00C20A7E" w:rsidRDefault="00C20A7E" w:rsidP="00AA53B6">
            <w:r w:rsidRPr="0053535C">
              <w:t>1/40sq.m</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As above (b)</w:t>
            </w:r>
          </w:p>
        </w:tc>
        <w:tc>
          <w:tcPr>
            <w:tcW w:w="1701" w:type="dxa"/>
          </w:tcPr>
          <w:p w:rsidR="00C20A7E" w:rsidRDefault="00C20A7E" w:rsidP="00AA53B6"/>
          <w:p w:rsidR="00C20A7E" w:rsidRDefault="00C20A7E" w:rsidP="00AA53B6">
            <w:r>
              <w:t xml:space="preserve">1/60sq.m </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 xml:space="preserve">1/80sq.m </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As above (b)</w:t>
            </w:r>
          </w:p>
          <w:p w:rsidR="00C20A7E" w:rsidRDefault="00C20A7E" w:rsidP="00AA53B6"/>
          <w:p w:rsidR="00C20A7E" w:rsidRDefault="00C20A7E" w:rsidP="00AA53B6"/>
        </w:tc>
        <w:tc>
          <w:tcPr>
            <w:tcW w:w="2127" w:type="dxa"/>
          </w:tcPr>
          <w:p w:rsidR="00C20A7E" w:rsidRDefault="00C20A7E" w:rsidP="00AA53B6"/>
          <w:p w:rsidR="00C20A7E" w:rsidRDefault="00C20A7E" w:rsidP="00AA53B6">
            <w:r w:rsidRPr="0053535C">
              <w:t>1/30sq.m</w:t>
            </w:r>
          </w:p>
        </w:tc>
        <w:tc>
          <w:tcPr>
            <w:tcW w:w="2551" w:type="dxa"/>
          </w:tcPr>
          <w:p w:rsidR="00C20A7E" w:rsidRDefault="00C20A7E" w:rsidP="00AA53B6"/>
          <w:p w:rsidR="00C20A7E" w:rsidRPr="0053535C" w:rsidRDefault="00C20A7E" w:rsidP="00AA53B6">
            <w:r w:rsidRPr="0053535C">
              <w:t xml:space="preserve">1/20sq.m up to 1000sq.m </w:t>
            </w:r>
            <w:proofErr w:type="spellStart"/>
            <w:r w:rsidRPr="0053535C">
              <w:lastRenderedPageBreak/>
              <w:t>floorspace</w:t>
            </w:r>
            <w:proofErr w:type="spellEnd"/>
          </w:p>
          <w:p w:rsidR="00C20A7E" w:rsidRPr="0053535C" w:rsidRDefault="00C20A7E" w:rsidP="00AA53B6">
            <w:r w:rsidRPr="0053535C">
              <w:t xml:space="preserve">1/30sq.m additional </w:t>
            </w:r>
            <w:proofErr w:type="spellStart"/>
            <w:r w:rsidRPr="0053535C">
              <w:t>floorspace</w:t>
            </w:r>
            <w:proofErr w:type="spellEnd"/>
          </w:p>
          <w:p w:rsidR="00C20A7E" w:rsidRPr="0053535C" w:rsidRDefault="00C20A7E" w:rsidP="00AA53B6"/>
          <w:p w:rsidR="005B3DE3" w:rsidRDefault="005B3DE3" w:rsidP="00AA53B6"/>
          <w:p w:rsidR="005B3DE3" w:rsidRDefault="005B3DE3" w:rsidP="00AA53B6"/>
          <w:p w:rsidR="005B3DE3" w:rsidRDefault="005B3DE3" w:rsidP="00AA53B6"/>
          <w:p w:rsidR="00C20A7E" w:rsidRPr="0053535C" w:rsidRDefault="00C20A7E" w:rsidP="00AA53B6">
            <w:r w:rsidRPr="0053535C">
              <w:t xml:space="preserve">1/30sq.m up to 1000sq.m </w:t>
            </w:r>
            <w:proofErr w:type="spellStart"/>
            <w:r w:rsidRPr="0053535C">
              <w:t>floorspace</w:t>
            </w:r>
            <w:proofErr w:type="spellEnd"/>
          </w:p>
          <w:p w:rsidR="00C20A7E" w:rsidRDefault="00C20A7E" w:rsidP="00AA53B6">
            <w:r w:rsidRPr="0053535C">
              <w:t xml:space="preserve">1/40sq.m additional </w:t>
            </w:r>
            <w:proofErr w:type="spellStart"/>
            <w:r w:rsidRPr="0053535C">
              <w:t>floorspace</w:t>
            </w:r>
            <w:proofErr w:type="spellEnd"/>
          </w:p>
          <w:p w:rsidR="00C20A7E" w:rsidRDefault="00C20A7E" w:rsidP="00AA53B6"/>
          <w:p w:rsidR="00C20A7E" w:rsidRDefault="00C20A7E" w:rsidP="00AA53B6"/>
          <w:p w:rsidR="005B3DE3" w:rsidRDefault="005B3DE3" w:rsidP="00AA53B6"/>
          <w:p w:rsidR="005B3DE3" w:rsidRDefault="005B3DE3" w:rsidP="00AA53B6"/>
          <w:p w:rsidR="005B3DE3" w:rsidRDefault="005B3DE3" w:rsidP="00AA53B6"/>
          <w:p w:rsidR="00C20A7E" w:rsidRDefault="00C20A7E" w:rsidP="00AA53B6">
            <w:r>
              <w:t>As above (b)</w:t>
            </w:r>
          </w:p>
        </w:tc>
        <w:tc>
          <w:tcPr>
            <w:tcW w:w="1843" w:type="dxa"/>
          </w:tcPr>
          <w:p w:rsidR="00C20A7E" w:rsidRDefault="00C20A7E" w:rsidP="00AA53B6"/>
          <w:p w:rsidR="00C20A7E" w:rsidRDefault="00C20A7E" w:rsidP="00AA53B6">
            <w:r>
              <w:t>1/30</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1/40</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1/40</w:t>
            </w:r>
          </w:p>
        </w:tc>
        <w:tc>
          <w:tcPr>
            <w:tcW w:w="1843" w:type="dxa"/>
          </w:tcPr>
          <w:p w:rsidR="00C20A7E" w:rsidRDefault="00C20A7E" w:rsidP="00AA53B6"/>
          <w:p w:rsidR="00C20A7E" w:rsidRDefault="00C20A7E" w:rsidP="00AA53B6">
            <w:r>
              <w:t>1/60</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1/80</w:t>
            </w:r>
          </w:p>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C20A7E" w:rsidRDefault="00C20A7E" w:rsidP="00AA53B6"/>
          <w:p w:rsidR="005B3DE3" w:rsidRDefault="005B3DE3" w:rsidP="00AA53B6"/>
          <w:p w:rsidR="00C20A7E" w:rsidRDefault="00C20A7E" w:rsidP="00AA53B6">
            <w:r>
              <w:t>1/80</w:t>
            </w:r>
          </w:p>
        </w:tc>
      </w:tr>
      <w:tr w:rsidR="00C20A7E" w:rsidTr="00AA53B6">
        <w:tc>
          <w:tcPr>
            <w:tcW w:w="1526" w:type="dxa"/>
          </w:tcPr>
          <w:p w:rsidR="00C20A7E" w:rsidRDefault="00C20A7E" w:rsidP="00AA53B6">
            <w:pPr>
              <w:rPr>
                <w:b/>
              </w:rPr>
            </w:pPr>
          </w:p>
          <w:p w:rsidR="00C20A7E" w:rsidRDefault="00C20A7E" w:rsidP="00AA53B6">
            <w:pPr>
              <w:rPr>
                <w:b/>
              </w:rPr>
            </w:pPr>
            <w:r w:rsidRPr="00F63D76">
              <w:rPr>
                <w:b/>
              </w:rPr>
              <w:t>B2</w:t>
            </w:r>
            <w:r>
              <w:rPr>
                <w:b/>
              </w:rPr>
              <w:t xml:space="preserve"> – Light Industrial</w:t>
            </w:r>
          </w:p>
          <w:p w:rsidR="00C20A7E" w:rsidRPr="00F63D76" w:rsidRDefault="00C20A7E" w:rsidP="00AA53B6">
            <w:pPr>
              <w:rPr>
                <w:b/>
              </w:rPr>
            </w:pPr>
          </w:p>
        </w:tc>
        <w:tc>
          <w:tcPr>
            <w:tcW w:w="1417" w:type="dxa"/>
            <w:shd w:val="clear" w:color="auto" w:fill="F2F2F2" w:themeFill="background1" w:themeFillShade="F2"/>
          </w:tcPr>
          <w:p w:rsidR="00C20A7E" w:rsidRDefault="00C20A7E" w:rsidP="00AA53B6"/>
        </w:tc>
        <w:tc>
          <w:tcPr>
            <w:tcW w:w="1701" w:type="dxa"/>
          </w:tcPr>
          <w:p w:rsidR="00C20A7E" w:rsidRPr="0053535C" w:rsidRDefault="00C20A7E" w:rsidP="00AA53B6"/>
          <w:p w:rsidR="00C20A7E" w:rsidRPr="0053535C" w:rsidRDefault="00C20A7E" w:rsidP="00AA53B6">
            <w:r w:rsidRPr="0053535C">
              <w:t>1/50sq.m</w:t>
            </w:r>
          </w:p>
        </w:tc>
        <w:tc>
          <w:tcPr>
            <w:tcW w:w="1701" w:type="dxa"/>
          </w:tcPr>
          <w:p w:rsidR="00C20A7E" w:rsidRPr="0053535C" w:rsidRDefault="00C20A7E" w:rsidP="00AA53B6"/>
          <w:p w:rsidR="00C20A7E" w:rsidRPr="0053535C" w:rsidRDefault="00C20A7E" w:rsidP="00AA53B6">
            <w:r w:rsidRPr="0053535C">
              <w:t>1/100sq.m</w:t>
            </w:r>
          </w:p>
        </w:tc>
        <w:tc>
          <w:tcPr>
            <w:tcW w:w="2127" w:type="dxa"/>
          </w:tcPr>
          <w:p w:rsidR="00C20A7E" w:rsidRPr="0053535C" w:rsidRDefault="00C20A7E" w:rsidP="00AA53B6"/>
          <w:p w:rsidR="00C20A7E" w:rsidRPr="0053535C" w:rsidRDefault="00C20A7E" w:rsidP="00AA53B6">
            <w:r w:rsidRPr="0053535C">
              <w:t>1/50sq.m</w:t>
            </w:r>
          </w:p>
        </w:tc>
        <w:tc>
          <w:tcPr>
            <w:tcW w:w="2551" w:type="dxa"/>
          </w:tcPr>
          <w:p w:rsidR="00C20A7E" w:rsidRPr="0053535C" w:rsidRDefault="00C20A7E" w:rsidP="00AA53B6">
            <w:r w:rsidRPr="0053535C">
              <w:t xml:space="preserve"> 1/30sq.m up to 1000sq.m </w:t>
            </w:r>
            <w:proofErr w:type="spellStart"/>
            <w:r w:rsidRPr="0053535C">
              <w:t>floorspace</w:t>
            </w:r>
            <w:proofErr w:type="spellEnd"/>
          </w:p>
          <w:p w:rsidR="00C20A7E" w:rsidRPr="0053535C" w:rsidRDefault="00C20A7E" w:rsidP="00AA53B6"/>
          <w:p w:rsidR="00C20A7E" w:rsidRPr="0053535C" w:rsidRDefault="00C20A7E" w:rsidP="00AA53B6">
            <w:r w:rsidRPr="0053535C">
              <w:t xml:space="preserve">1/40sq.m additional </w:t>
            </w:r>
            <w:proofErr w:type="spellStart"/>
            <w:r w:rsidRPr="0053535C">
              <w:t>floorspace</w:t>
            </w:r>
            <w:proofErr w:type="spellEnd"/>
          </w:p>
        </w:tc>
        <w:tc>
          <w:tcPr>
            <w:tcW w:w="1843" w:type="dxa"/>
          </w:tcPr>
          <w:p w:rsidR="00C20A7E" w:rsidRDefault="00C20A7E" w:rsidP="00AA53B6"/>
          <w:p w:rsidR="00C20A7E" w:rsidRDefault="00C20A7E" w:rsidP="00AA53B6">
            <w:r>
              <w:t>1/45</w:t>
            </w:r>
          </w:p>
        </w:tc>
        <w:tc>
          <w:tcPr>
            <w:tcW w:w="1843" w:type="dxa"/>
          </w:tcPr>
          <w:p w:rsidR="00C20A7E" w:rsidRDefault="00C20A7E" w:rsidP="00AA53B6"/>
          <w:p w:rsidR="00C20A7E" w:rsidRDefault="00C20A7E" w:rsidP="00AA53B6">
            <w:r>
              <w:t>1/90</w:t>
            </w:r>
          </w:p>
        </w:tc>
      </w:tr>
      <w:tr w:rsidR="00C20A7E" w:rsidTr="00AA53B6">
        <w:tc>
          <w:tcPr>
            <w:tcW w:w="1526" w:type="dxa"/>
          </w:tcPr>
          <w:p w:rsidR="00C20A7E" w:rsidRDefault="00C20A7E" w:rsidP="00AA53B6">
            <w:pPr>
              <w:rPr>
                <w:b/>
              </w:rPr>
            </w:pPr>
          </w:p>
          <w:p w:rsidR="00C20A7E" w:rsidRDefault="00C20A7E" w:rsidP="00AA53B6">
            <w:pPr>
              <w:rPr>
                <w:b/>
              </w:rPr>
            </w:pPr>
            <w:r w:rsidRPr="00F63D76">
              <w:rPr>
                <w:b/>
              </w:rPr>
              <w:t>B8</w:t>
            </w:r>
            <w:r>
              <w:rPr>
                <w:b/>
              </w:rPr>
              <w:t xml:space="preserve"> – Storage and </w:t>
            </w:r>
            <w:r>
              <w:rPr>
                <w:b/>
              </w:rPr>
              <w:lastRenderedPageBreak/>
              <w:t>distribution</w:t>
            </w:r>
          </w:p>
          <w:p w:rsidR="00C20A7E" w:rsidRPr="00F63D76" w:rsidRDefault="00C20A7E" w:rsidP="00AA53B6">
            <w:pPr>
              <w:rPr>
                <w:b/>
              </w:rPr>
            </w:pPr>
          </w:p>
        </w:tc>
        <w:tc>
          <w:tcPr>
            <w:tcW w:w="1417" w:type="dxa"/>
            <w:shd w:val="clear" w:color="auto" w:fill="F2F2F2" w:themeFill="background1" w:themeFillShade="F2"/>
          </w:tcPr>
          <w:p w:rsidR="00C20A7E" w:rsidRDefault="00C20A7E" w:rsidP="00AA53B6"/>
        </w:tc>
        <w:tc>
          <w:tcPr>
            <w:tcW w:w="1701" w:type="dxa"/>
          </w:tcPr>
          <w:p w:rsidR="00C20A7E" w:rsidRDefault="00C20A7E" w:rsidP="00AA53B6"/>
          <w:p w:rsidR="00C20A7E" w:rsidRDefault="00C20A7E" w:rsidP="00AA53B6">
            <w:r>
              <w:t>1/80sq.m</w:t>
            </w:r>
          </w:p>
        </w:tc>
        <w:tc>
          <w:tcPr>
            <w:tcW w:w="1701" w:type="dxa"/>
          </w:tcPr>
          <w:p w:rsidR="00C20A7E" w:rsidRDefault="00C20A7E" w:rsidP="00AA53B6"/>
          <w:p w:rsidR="00C20A7E" w:rsidRDefault="00C20A7E" w:rsidP="00AA53B6">
            <w:r>
              <w:t>1/160sq.m</w:t>
            </w:r>
          </w:p>
        </w:tc>
        <w:tc>
          <w:tcPr>
            <w:tcW w:w="2127" w:type="dxa"/>
          </w:tcPr>
          <w:p w:rsidR="00C20A7E" w:rsidRDefault="00C20A7E" w:rsidP="00AA53B6"/>
          <w:p w:rsidR="00C20A7E" w:rsidRDefault="00C20A7E" w:rsidP="00AA53B6">
            <w:r>
              <w:t>1/120sq.m</w:t>
            </w:r>
          </w:p>
        </w:tc>
        <w:tc>
          <w:tcPr>
            <w:tcW w:w="2551" w:type="dxa"/>
          </w:tcPr>
          <w:p w:rsidR="00C20A7E" w:rsidRDefault="00C20A7E" w:rsidP="00AA53B6"/>
          <w:p w:rsidR="00C20A7E" w:rsidRDefault="00C20A7E" w:rsidP="00AA53B6">
            <w:r>
              <w:t xml:space="preserve">1/50sq.m up to 1000sq.m </w:t>
            </w:r>
            <w:proofErr w:type="spellStart"/>
            <w:r>
              <w:t>floorspace</w:t>
            </w:r>
            <w:proofErr w:type="spellEnd"/>
          </w:p>
          <w:p w:rsidR="00C20A7E" w:rsidRDefault="00C20A7E" w:rsidP="00AA53B6"/>
          <w:p w:rsidR="00C20A7E" w:rsidRDefault="00C20A7E" w:rsidP="00AA53B6">
            <w:r>
              <w:t xml:space="preserve">1/40sqm additional </w:t>
            </w:r>
            <w:proofErr w:type="spellStart"/>
            <w:r>
              <w:t>floorspace</w:t>
            </w:r>
            <w:proofErr w:type="spellEnd"/>
          </w:p>
        </w:tc>
        <w:tc>
          <w:tcPr>
            <w:tcW w:w="1843" w:type="dxa"/>
          </w:tcPr>
          <w:p w:rsidR="00C20A7E" w:rsidRDefault="00C20A7E" w:rsidP="00AA53B6"/>
          <w:p w:rsidR="00C20A7E" w:rsidRDefault="00C20A7E" w:rsidP="00AA53B6">
            <w:r>
              <w:t>1/60</w:t>
            </w:r>
          </w:p>
        </w:tc>
        <w:tc>
          <w:tcPr>
            <w:tcW w:w="1843" w:type="dxa"/>
          </w:tcPr>
          <w:p w:rsidR="00C20A7E" w:rsidRDefault="00C20A7E" w:rsidP="00AA53B6"/>
          <w:p w:rsidR="00C20A7E" w:rsidRDefault="00C20A7E" w:rsidP="00AA53B6">
            <w:r>
              <w:t>1/120</w:t>
            </w:r>
          </w:p>
        </w:tc>
      </w:tr>
      <w:tr w:rsidR="00C20A7E" w:rsidTr="00AA53B6">
        <w:tc>
          <w:tcPr>
            <w:tcW w:w="1526" w:type="dxa"/>
          </w:tcPr>
          <w:p w:rsidR="00C20A7E" w:rsidRDefault="00C20A7E" w:rsidP="00AA53B6">
            <w:pPr>
              <w:rPr>
                <w:b/>
              </w:rPr>
            </w:pPr>
          </w:p>
          <w:p w:rsidR="00C20A7E" w:rsidRDefault="00C20A7E" w:rsidP="00AA53B6">
            <w:pPr>
              <w:rPr>
                <w:b/>
              </w:rPr>
            </w:pPr>
            <w:r w:rsidRPr="0035347B">
              <w:rPr>
                <w:b/>
              </w:rPr>
              <w:t>C1</w:t>
            </w:r>
            <w:r>
              <w:rPr>
                <w:b/>
              </w:rPr>
              <w:t xml:space="preserve"> Hotels and guesthouses</w:t>
            </w:r>
          </w:p>
          <w:p w:rsidR="00C20A7E" w:rsidRPr="0035347B" w:rsidRDefault="00C20A7E" w:rsidP="00AA53B6">
            <w:pPr>
              <w:rPr>
                <w:b/>
              </w:rPr>
            </w:pPr>
          </w:p>
        </w:tc>
        <w:tc>
          <w:tcPr>
            <w:tcW w:w="1417" w:type="dxa"/>
            <w:shd w:val="clear" w:color="auto" w:fill="F2F2F2" w:themeFill="background1" w:themeFillShade="F2"/>
          </w:tcPr>
          <w:p w:rsidR="00C20A7E" w:rsidRDefault="00C20A7E" w:rsidP="00AA53B6"/>
        </w:tc>
        <w:tc>
          <w:tcPr>
            <w:tcW w:w="1701" w:type="dxa"/>
          </w:tcPr>
          <w:p w:rsidR="00C20A7E" w:rsidRPr="0053535C" w:rsidRDefault="00C20A7E" w:rsidP="00AA53B6"/>
          <w:p w:rsidR="00C20A7E" w:rsidRPr="0053535C" w:rsidRDefault="00C20A7E" w:rsidP="00AA53B6">
            <w:r w:rsidRPr="0053535C">
              <w:t>1/bedroom</w:t>
            </w:r>
          </w:p>
        </w:tc>
        <w:tc>
          <w:tcPr>
            <w:tcW w:w="1701" w:type="dxa"/>
          </w:tcPr>
          <w:p w:rsidR="00C20A7E" w:rsidRPr="0053535C" w:rsidRDefault="00C20A7E" w:rsidP="00AA53B6"/>
          <w:p w:rsidR="00C20A7E" w:rsidRPr="0053535C" w:rsidRDefault="00C20A7E" w:rsidP="00AA53B6">
            <w:r w:rsidRPr="0053535C">
              <w:t>0.5/bedroom</w:t>
            </w:r>
          </w:p>
        </w:tc>
        <w:tc>
          <w:tcPr>
            <w:tcW w:w="2127" w:type="dxa"/>
          </w:tcPr>
          <w:p w:rsidR="00C20A7E" w:rsidRPr="0053535C" w:rsidRDefault="00C20A7E" w:rsidP="00AA53B6"/>
          <w:p w:rsidR="00C20A7E" w:rsidRPr="0053535C" w:rsidRDefault="00C20A7E" w:rsidP="00AA53B6">
            <w:r w:rsidRPr="0053535C">
              <w:t>1 per bedroom</w:t>
            </w:r>
          </w:p>
        </w:tc>
        <w:tc>
          <w:tcPr>
            <w:tcW w:w="2551" w:type="dxa"/>
          </w:tcPr>
          <w:p w:rsidR="00C20A7E" w:rsidRPr="0053535C" w:rsidRDefault="00C20A7E" w:rsidP="00AA53B6"/>
          <w:p w:rsidR="00C20A7E" w:rsidRPr="0053535C" w:rsidRDefault="00C20A7E" w:rsidP="00AA53B6">
            <w:r w:rsidRPr="0053535C">
              <w:t>Guests – 1/bedroom</w:t>
            </w:r>
          </w:p>
          <w:p w:rsidR="00C20A7E" w:rsidRPr="0053535C" w:rsidRDefault="00C20A7E" w:rsidP="00AA53B6"/>
          <w:p w:rsidR="00C20A7E" w:rsidRPr="0053535C" w:rsidRDefault="00C20A7E" w:rsidP="00AA53B6">
            <w:r w:rsidRPr="0053535C">
              <w:t>Resident staff – 1/bedroom</w:t>
            </w:r>
          </w:p>
        </w:tc>
        <w:tc>
          <w:tcPr>
            <w:tcW w:w="1843" w:type="dxa"/>
          </w:tcPr>
          <w:p w:rsidR="00C20A7E" w:rsidRDefault="00C20A7E" w:rsidP="00AA53B6"/>
          <w:p w:rsidR="00C20A7E" w:rsidRDefault="00C20A7E" w:rsidP="00AA53B6">
            <w:r>
              <w:t>1/bedroom</w:t>
            </w:r>
          </w:p>
        </w:tc>
        <w:tc>
          <w:tcPr>
            <w:tcW w:w="1843" w:type="dxa"/>
          </w:tcPr>
          <w:p w:rsidR="00C20A7E" w:rsidRDefault="00C20A7E" w:rsidP="00AA53B6"/>
          <w:p w:rsidR="00C20A7E" w:rsidRDefault="00C20A7E" w:rsidP="00AA53B6">
            <w:r>
              <w:t>0.5/bedroom</w:t>
            </w:r>
          </w:p>
        </w:tc>
      </w:tr>
      <w:tr w:rsidR="00C20A7E" w:rsidTr="00AA53B6">
        <w:tc>
          <w:tcPr>
            <w:tcW w:w="1526" w:type="dxa"/>
          </w:tcPr>
          <w:p w:rsidR="00C20A7E" w:rsidRDefault="00C20A7E" w:rsidP="00AA53B6"/>
          <w:p w:rsidR="00C20A7E" w:rsidRPr="0035347B" w:rsidRDefault="00C20A7E" w:rsidP="00AA53B6">
            <w:pPr>
              <w:rPr>
                <w:b/>
              </w:rPr>
            </w:pPr>
            <w:r w:rsidRPr="0035347B">
              <w:rPr>
                <w:b/>
              </w:rPr>
              <w:t>C2</w:t>
            </w:r>
          </w:p>
          <w:p w:rsidR="00C20A7E" w:rsidRDefault="00C20A7E" w:rsidP="00AA53B6">
            <w:r>
              <w:t xml:space="preserve"> </w:t>
            </w:r>
          </w:p>
          <w:p w:rsidR="00C20A7E" w:rsidRDefault="00C20A7E" w:rsidP="00AA53B6">
            <w:pPr>
              <w:pStyle w:val="ListParagraph"/>
            </w:pPr>
          </w:p>
        </w:tc>
        <w:tc>
          <w:tcPr>
            <w:tcW w:w="1417" w:type="dxa"/>
          </w:tcPr>
          <w:p w:rsidR="00C20A7E" w:rsidRDefault="00C20A7E" w:rsidP="00AA53B6">
            <w:pPr>
              <w:pStyle w:val="ListParagraph"/>
            </w:pPr>
          </w:p>
          <w:p w:rsidR="00C20A7E" w:rsidRDefault="00C20A7E" w:rsidP="00AA53B6">
            <w:r>
              <w:t>Residential care home</w:t>
            </w:r>
          </w:p>
        </w:tc>
        <w:tc>
          <w:tcPr>
            <w:tcW w:w="1701" w:type="dxa"/>
          </w:tcPr>
          <w:p w:rsidR="00C20A7E" w:rsidRDefault="00C20A7E" w:rsidP="00AA53B6"/>
          <w:p w:rsidR="00C20A7E" w:rsidRDefault="00C20A7E" w:rsidP="00AA53B6">
            <w:r>
              <w:t>1/3 residents + provision for an ambulance</w:t>
            </w:r>
          </w:p>
        </w:tc>
        <w:tc>
          <w:tcPr>
            <w:tcW w:w="1701" w:type="dxa"/>
          </w:tcPr>
          <w:p w:rsidR="00C20A7E" w:rsidRDefault="00C20A7E" w:rsidP="00AA53B6"/>
          <w:p w:rsidR="00C20A7E" w:rsidRDefault="00C20A7E" w:rsidP="00AA53B6">
            <w:r>
              <w:t>1/4 residents + provision for an ambulance</w:t>
            </w:r>
          </w:p>
        </w:tc>
        <w:tc>
          <w:tcPr>
            <w:tcW w:w="2127" w:type="dxa"/>
          </w:tcPr>
          <w:p w:rsidR="00C20A7E" w:rsidRDefault="00C20A7E" w:rsidP="00AA53B6"/>
          <w:p w:rsidR="00C20A7E" w:rsidRDefault="00C20A7E" w:rsidP="00AA53B6">
            <w:r>
              <w:t>1 per full time equivalent staff + 1 visitor space per 3 beds</w:t>
            </w:r>
          </w:p>
        </w:tc>
        <w:tc>
          <w:tcPr>
            <w:tcW w:w="2551" w:type="dxa"/>
          </w:tcPr>
          <w:p w:rsidR="00C20A7E" w:rsidRDefault="00C20A7E" w:rsidP="00AA53B6"/>
          <w:p w:rsidR="00C20A7E" w:rsidRDefault="00C20A7E" w:rsidP="00AA53B6">
            <w:pPr>
              <w:jc w:val="center"/>
            </w:pPr>
            <w:r>
              <w:t>No standard</w:t>
            </w:r>
          </w:p>
        </w:tc>
        <w:tc>
          <w:tcPr>
            <w:tcW w:w="1843" w:type="dxa"/>
          </w:tcPr>
          <w:p w:rsidR="00C20A7E" w:rsidRDefault="00C20A7E" w:rsidP="00AA53B6"/>
          <w:p w:rsidR="00C20A7E" w:rsidRDefault="00C20A7E" w:rsidP="00AA53B6">
            <w:r>
              <w:t>1/4 residents</w:t>
            </w:r>
          </w:p>
        </w:tc>
        <w:tc>
          <w:tcPr>
            <w:tcW w:w="1843" w:type="dxa"/>
          </w:tcPr>
          <w:p w:rsidR="00C20A7E" w:rsidRDefault="00C20A7E" w:rsidP="00AA53B6"/>
          <w:p w:rsidR="00C20A7E" w:rsidRDefault="00C20A7E" w:rsidP="00AA53B6">
            <w:r>
              <w:t>0.5/4 residents</w:t>
            </w:r>
          </w:p>
        </w:tc>
      </w:tr>
      <w:tr w:rsidR="00C20A7E" w:rsidTr="00AA53B6">
        <w:tc>
          <w:tcPr>
            <w:tcW w:w="1526" w:type="dxa"/>
          </w:tcPr>
          <w:p w:rsidR="00C20A7E" w:rsidRDefault="00C20A7E" w:rsidP="00AA53B6">
            <w:pPr>
              <w:pStyle w:val="ListParagraph"/>
            </w:pPr>
          </w:p>
        </w:tc>
        <w:tc>
          <w:tcPr>
            <w:tcW w:w="1417" w:type="dxa"/>
          </w:tcPr>
          <w:p w:rsidR="00C20A7E" w:rsidRDefault="00C20A7E" w:rsidP="00AA53B6">
            <w:r>
              <w:t>Hospital and treatment centres</w:t>
            </w:r>
          </w:p>
        </w:tc>
        <w:tc>
          <w:tcPr>
            <w:tcW w:w="3402" w:type="dxa"/>
            <w:gridSpan w:val="2"/>
          </w:tcPr>
          <w:p w:rsidR="00C20A7E" w:rsidRDefault="00C20A7E" w:rsidP="00AA53B6"/>
          <w:p w:rsidR="00C20A7E" w:rsidRDefault="00C20A7E" w:rsidP="00AA53B6"/>
          <w:p w:rsidR="00C20A7E" w:rsidRDefault="00C20A7E" w:rsidP="00AA53B6">
            <w:r>
              <w:t>Each case considered on its merits</w:t>
            </w:r>
          </w:p>
        </w:tc>
        <w:tc>
          <w:tcPr>
            <w:tcW w:w="2127" w:type="dxa"/>
          </w:tcPr>
          <w:p w:rsidR="00C20A7E" w:rsidRDefault="00C20A7E" w:rsidP="00AA53B6">
            <w:r>
              <w:t>1 per 2 employees</w:t>
            </w:r>
          </w:p>
          <w:p w:rsidR="00C20A7E" w:rsidRDefault="00C20A7E" w:rsidP="00AA53B6"/>
          <w:p w:rsidR="00C20A7E" w:rsidRDefault="00C20A7E" w:rsidP="00AA53B6">
            <w:r>
              <w:t>1 per 3 beds for visitors</w:t>
            </w:r>
          </w:p>
          <w:p w:rsidR="00C20A7E" w:rsidRDefault="00C20A7E" w:rsidP="00AA53B6"/>
          <w:p w:rsidR="00C20A7E" w:rsidRDefault="00C20A7E" w:rsidP="00AA53B6">
            <w:r>
              <w:t>1 space per consulting for outpatients</w:t>
            </w:r>
          </w:p>
        </w:tc>
        <w:tc>
          <w:tcPr>
            <w:tcW w:w="2551" w:type="dxa"/>
          </w:tcPr>
          <w:p w:rsidR="00C20A7E" w:rsidRDefault="00C20A7E" w:rsidP="00AA53B6">
            <w:pPr>
              <w:jc w:val="center"/>
            </w:pPr>
          </w:p>
          <w:p w:rsidR="00C20A7E" w:rsidRDefault="00C20A7E" w:rsidP="00AA53B6">
            <w:pPr>
              <w:jc w:val="center"/>
            </w:pPr>
            <w:r>
              <w:t>No standard</w:t>
            </w:r>
          </w:p>
        </w:tc>
        <w:tc>
          <w:tcPr>
            <w:tcW w:w="3686" w:type="dxa"/>
            <w:gridSpan w:val="2"/>
          </w:tcPr>
          <w:p w:rsidR="00C20A7E" w:rsidRDefault="00C20A7E" w:rsidP="00AA53B6">
            <w:pPr>
              <w:jc w:val="center"/>
            </w:pPr>
          </w:p>
          <w:p w:rsidR="00C20A7E" w:rsidRDefault="00C20A7E" w:rsidP="00AA53B6">
            <w:pPr>
              <w:jc w:val="center"/>
            </w:pPr>
          </w:p>
          <w:p w:rsidR="00C20A7E" w:rsidRDefault="00C20A7E" w:rsidP="00AA53B6">
            <w:r>
              <w:t>Each case considered on its own merits</w:t>
            </w:r>
          </w:p>
        </w:tc>
      </w:tr>
      <w:tr w:rsidR="00C20A7E" w:rsidTr="00C20A7E">
        <w:tc>
          <w:tcPr>
            <w:tcW w:w="1526" w:type="dxa"/>
          </w:tcPr>
          <w:p w:rsidR="00C20A7E" w:rsidRDefault="00C20A7E" w:rsidP="00AA53B6">
            <w:pPr>
              <w:pStyle w:val="ListParagraph"/>
            </w:pPr>
          </w:p>
        </w:tc>
        <w:tc>
          <w:tcPr>
            <w:tcW w:w="1417" w:type="dxa"/>
          </w:tcPr>
          <w:p w:rsidR="00C20A7E" w:rsidRDefault="00C20A7E" w:rsidP="00AA53B6">
            <w:r>
              <w:t>Residential education establishment  – primary/secondary</w:t>
            </w:r>
          </w:p>
        </w:tc>
        <w:tc>
          <w:tcPr>
            <w:tcW w:w="3402" w:type="dxa"/>
            <w:gridSpan w:val="2"/>
          </w:tcPr>
          <w:p w:rsidR="00C20A7E" w:rsidRDefault="00C20A7E" w:rsidP="00AA53B6"/>
          <w:p w:rsidR="00C20A7E" w:rsidRDefault="00C20A7E" w:rsidP="00AA53B6">
            <w:r>
              <w:t>Each case considered on its merits</w:t>
            </w:r>
          </w:p>
        </w:tc>
        <w:tc>
          <w:tcPr>
            <w:tcW w:w="2127" w:type="dxa"/>
          </w:tcPr>
          <w:p w:rsidR="00C20A7E" w:rsidRDefault="00C20A7E" w:rsidP="00AA53B6">
            <w:r>
              <w:t>1 per full time equivalent staff</w:t>
            </w:r>
          </w:p>
        </w:tc>
        <w:tc>
          <w:tcPr>
            <w:tcW w:w="2551" w:type="dxa"/>
          </w:tcPr>
          <w:p w:rsidR="00C20A7E" w:rsidRDefault="00C20A7E" w:rsidP="00AA53B6">
            <w:pPr>
              <w:jc w:val="center"/>
            </w:pPr>
            <w:r>
              <w:t>No standard</w:t>
            </w:r>
          </w:p>
        </w:tc>
        <w:tc>
          <w:tcPr>
            <w:tcW w:w="1843" w:type="dxa"/>
            <w:vMerge w:val="restart"/>
          </w:tcPr>
          <w:p w:rsidR="00C20A7E" w:rsidRDefault="00C20A7E" w:rsidP="00AA53B6">
            <w:r>
              <w:t>1/4residents</w:t>
            </w:r>
          </w:p>
        </w:tc>
        <w:tc>
          <w:tcPr>
            <w:tcW w:w="1843" w:type="dxa"/>
            <w:vMerge w:val="restart"/>
          </w:tcPr>
          <w:p w:rsidR="00C20A7E" w:rsidRDefault="00C20A7E" w:rsidP="00AA53B6">
            <w:r>
              <w:t>0.5/4residents</w:t>
            </w:r>
          </w:p>
        </w:tc>
      </w:tr>
      <w:tr w:rsidR="00C20A7E" w:rsidTr="00C20A7E">
        <w:tc>
          <w:tcPr>
            <w:tcW w:w="1526" w:type="dxa"/>
          </w:tcPr>
          <w:p w:rsidR="00C20A7E" w:rsidRDefault="00C20A7E" w:rsidP="00AA53B6"/>
        </w:tc>
        <w:tc>
          <w:tcPr>
            <w:tcW w:w="1417" w:type="dxa"/>
          </w:tcPr>
          <w:p w:rsidR="00C20A7E" w:rsidRDefault="00C20A7E" w:rsidP="00AA53B6">
            <w:r>
              <w:t xml:space="preserve">Residential </w:t>
            </w:r>
            <w:r>
              <w:lastRenderedPageBreak/>
              <w:t>education establishment – further/higher education</w:t>
            </w:r>
          </w:p>
        </w:tc>
        <w:tc>
          <w:tcPr>
            <w:tcW w:w="3402" w:type="dxa"/>
            <w:gridSpan w:val="2"/>
          </w:tcPr>
          <w:p w:rsidR="00C20A7E" w:rsidRDefault="00C20A7E" w:rsidP="00AA53B6"/>
          <w:p w:rsidR="00C20A7E" w:rsidRDefault="00C20A7E" w:rsidP="00AA53B6">
            <w:r>
              <w:lastRenderedPageBreak/>
              <w:t>Each case considered on its merits</w:t>
            </w:r>
          </w:p>
        </w:tc>
        <w:tc>
          <w:tcPr>
            <w:tcW w:w="2127" w:type="dxa"/>
          </w:tcPr>
          <w:p w:rsidR="00C20A7E" w:rsidRDefault="00C20A7E" w:rsidP="00AA53B6">
            <w:r>
              <w:lastRenderedPageBreak/>
              <w:t xml:space="preserve">1 per full time </w:t>
            </w:r>
            <w:r>
              <w:lastRenderedPageBreak/>
              <w:t>equivalent staff + 1 space per 5 students</w:t>
            </w:r>
          </w:p>
        </w:tc>
        <w:tc>
          <w:tcPr>
            <w:tcW w:w="2551" w:type="dxa"/>
          </w:tcPr>
          <w:p w:rsidR="00C20A7E" w:rsidRDefault="00C20A7E" w:rsidP="00AA53B6">
            <w:pPr>
              <w:jc w:val="center"/>
            </w:pPr>
            <w:r>
              <w:lastRenderedPageBreak/>
              <w:t>No standard</w:t>
            </w:r>
          </w:p>
        </w:tc>
        <w:tc>
          <w:tcPr>
            <w:tcW w:w="1843" w:type="dxa"/>
            <w:vMerge/>
          </w:tcPr>
          <w:p w:rsidR="00C20A7E" w:rsidRDefault="00C20A7E" w:rsidP="00AA53B6">
            <w:pPr>
              <w:jc w:val="center"/>
            </w:pPr>
          </w:p>
        </w:tc>
        <w:tc>
          <w:tcPr>
            <w:tcW w:w="1843" w:type="dxa"/>
            <w:vMerge/>
          </w:tcPr>
          <w:p w:rsidR="00C20A7E" w:rsidRDefault="00C20A7E" w:rsidP="00AA53B6">
            <w:pPr>
              <w:jc w:val="center"/>
            </w:pPr>
          </w:p>
        </w:tc>
      </w:tr>
      <w:tr w:rsidR="00131454" w:rsidTr="00C20A7E">
        <w:tc>
          <w:tcPr>
            <w:tcW w:w="1526" w:type="dxa"/>
            <w:vMerge w:val="restart"/>
          </w:tcPr>
          <w:p w:rsidR="00131454" w:rsidRDefault="00131454" w:rsidP="00AA53B6"/>
          <w:p w:rsidR="00131454" w:rsidRPr="00801237" w:rsidRDefault="00131454" w:rsidP="00AA53B6">
            <w:pPr>
              <w:rPr>
                <w:b/>
              </w:rPr>
            </w:pPr>
            <w:r w:rsidRPr="00801237">
              <w:rPr>
                <w:b/>
              </w:rPr>
              <w:t>D1 – Non-residential institutions</w:t>
            </w:r>
          </w:p>
          <w:p w:rsidR="00131454" w:rsidRDefault="00131454" w:rsidP="00AA53B6"/>
        </w:tc>
        <w:tc>
          <w:tcPr>
            <w:tcW w:w="1417" w:type="dxa"/>
          </w:tcPr>
          <w:p w:rsidR="00131454" w:rsidRDefault="00131454" w:rsidP="00AA53B6"/>
          <w:p w:rsidR="00131454" w:rsidRDefault="00131454" w:rsidP="00AA53B6">
            <w:r>
              <w:t>Medical, health, day centre</w:t>
            </w:r>
          </w:p>
        </w:tc>
        <w:tc>
          <w:tcPr>
            <w:tcW w:w="1701" w:type="dxa"/>
          </w:tcPr>
          <w:p w:rsidR="00131454" w:rsidRDefault="00131454" w:rsidP="00AA53B6">
            <w:r>
              <w:t>4/consulting room</w:t>
            </w:r>
          </w:p>
        </w:tc>
        <w:tc>
          <w:tcPr>
            <w:tcW w:w="1701" w:type="dxa"/>
          </w:tcPr>
          <w:p w:rsidR="00131454" w:rsidRDefault="00131454" w:rsidP="00AA53B6">
            <w:r>
              <w:t>2/consulting room</w:t>
            </w:r>
          </w:p>
        </w:tc>
        <w:tc>
          <w:tcPr>
            <w:tcW w:w="2127" w:type="dxa"/>
          </w:tcPr>
          <w:p w:rsidR="00131454" w:rsidRDefault="00131454" w:rsidP="00AA53B6"/>
        </w:tc>
        <w:tc>
          <w:tcPr>
            <w:tcW w:w="2551" w:type="dxa"/>
          </w:tcPr>
          <w:p w:rsidR="00131454" w:rsidRDefault="00131454" w:rsidP="00AA53B6">
            <w:r>
              <w:t>3/consulting room for staff and visitors</w:t>
            </w:r>
          </w:p>
        </w:tc>
        <w:tc>
          <w:tcPr>
            <w:tcW w:w="1843" w:type="dxa"/>
          </w:tcPr>
          <w:p w:rsidR="00131454" w:rsidRDefault="00131454" w:rsidP="00AA53B6">
            <w:r>
              <w:t>4/consulting room</w:t>
            </w:r>
          </w:p>
        </w:tc>
        <w:tc>
          <w:tcPr>
            <w:tcW w:w="1843" w:type="dxa"/>
          </w:tcPr>
          <w:p w:rsidR="00131454" w:rsidRDefault="00131454" w:rsidP="00AA53B6">
            <w:r>
              <w:t>2/consulting room</w:t>
            </w:r>
          </w:p>
        </w:tc>
      </w:tr>
      <w:tr w:rsidR="00131454" w:rsidTr="00C20A7E">
        <w:tc>
          <w:tcPr>
            <w:tcW w:w="1526" w:type="dxa"/>
            <w:vMerge/>
          </w:tcPr>
          <w:p w:rsidR="00131454" w:rsidRDefault="00131454" w:rsidP="00AA53B6"/>
        </w:tc>
        <w:tc>
          <w:tcPr>
            <w:tcW w:w="1417" w:type="dxa"/>
          </w:tcPr>
          <w:p w:rsidR="00131454" w:rsidRDefault="00131454" w:rsidP="00AA53B6">
            <w:proofErr w:type="spellStart"/>
            <w:r>
              <w:t>Creche</w:t>
            </w:r>
            <w:proofErr w:type="spellEnd"/>
            <w:r>
              <w:t>, child care</w:t>
            </w:r>
          </w:p>
        </w:tc>
        <w:tc>
          <w:tcPr>
            <w:tcW w:w="1701" w:type="dxa"/>
          </w:tcPr>
          <w:p w:rsidR="00131454" w:rsidRDefault="00131454" w:rsidP="00AA53B6">
            <w:r>
              <w:t>1/FT staff</w:t>
            </w:r>
          </w:p>
        </w:tc>
        <w:tc>
          <w:tcPr>
            <w:tcW w:w="1701" w:type="dxa"/>
          </w:tcPr>
          <w:p w:rsidR="00131454" w:rsidRDefault="00131454" w:rsidP="00AA53B6">
            <w:r>
              <w:t>0.5/FT staff</w:t>
            </w:r>
          </w:p>
        </w:tc>
        <w:tc>
          <w:tcPr>
            <w:tcW w:w="2127" w:type="dxa"/>
          </w:tcPr>
          <w:p w:rsidR="00131454" w:rsidRDefault="00131454" w:rsidP="00AA53B6">
            <w:r>
              <w:t>1/FT staff; drop off/pick up at 1 per 4 participants</w:t>
            </w:r>
          </w:p>
        </w:tc>
        <w:tc>
          <w:tcPr>
            <w:tcW w:w="2551" w:type="dxa"/>
          </w:tcPr>
          <w:p w:rsidR="00131454" w:rsidRDefault="00131454" w:rsidP="00AA53B6">
            <w:r>
              <w:t>1/staff member plus sufficient space for dropping off and collecting children</w:t>
            </w:r>
          </w:p>
        </w:tc>
        <w:tc>
          <w:tcPr>
            <w:tcW w:w="1843" w:type="dxa"/>
          </w:tcPr>
          <w:p w:rsidR="00131454" w:rsidRDefault="00131454" w:rsidP="00AA53B6">
            <w:r>
              <w:t>1/FTE staff</w:t>
            </w:r>
          </w:p>
        </w:tc>
        <w:tc>
          <w:tcPr>
            <w:tcW w:w="1843" w:type="dxa"/>
          </w:tcPr>
          <w:p w:rsidR="00131454" w:rsidRDefault="00131454" w:rsidP="00AA53B6">
            <w:r>
              <w:t>0.5/FTE staff</w:t>
            </w:r>
          </w:p>
        </w:tc>
      </w:tr>
      <w:tr w:rsidR="00131454" w:rsidTr="00C20A7E">
        <w:tc>
          <w:tcPr>
            <w:tcW w:w="1526" w:type="dxa"/>
            <w:vMerge/>
          </w:tcPr>
          <w:p w:rsidR="00131454" w:rsidRDefault="00131454" w:rsidP="00AA53B6"/>
        </w:tc>
        <w:tc>
          <w:tcPr>
            <w:tcW w:w="1417" w:type="dxa"/>
          </w:tcPr>
          <w:p w:rsidR="00131454" w:rsidRDefault="00131454" w:rsidP="00AA53B6">
            <w:r>
              <w:t>Schools, higher or further education</w:t>
            </w:r>
          </w:p>
        </w:tc>
        <w:tc>
          <w:tcPr>
            <w:tcW w:w="1701" w:type="dxa"/>
          </w:tcPr>
          <w:p w:rsidR="00131454" w:rsidRDefault="00131454" w:rsidP="00AA53B6">
            <w:r>
              <w:t>2/classroom for staff and visitors; student/parent parking to be determined on merit</w:t>
            </w:r>
          </w:p>
        </w:tc>
        <w:tc>
          <w:tcPr>
            <w:tcW w:w="1701" w:type="dxa"/>
          </w:tcPr>
          <w:p w:rsidR="00131454" w:rsidRDefault="00131454" w:rsidP="00AA53B6">
            <w:r>
              <w:t>1/classroom for staff and visitors; student/parent parking to be determined on merit</w:t>
            </w:r>
          </w:p>
        </w:tc>
        <w:tc>
          <w:tcPr>
            <w:tcW w:w="2127" w:type="dxa"/>
          </w:tcPr>
          <w:p w:rsidR="00131454" w:rsidRDefault="00131454" w:rsidP="00AA53B6">
            <w:r>
              <w:t>1/FT staff + pro rata for part-time staff</w:t>
            </w:r>
          </w:p>
          <w:p w:rsidR="00131454" w:rsidRDefault="00131454" w:rsidP="00AA53B6"/>
          <w:p w:rsidR="00131454" w:rsidRDefault="00131454" w:rsidP="00AA53B6">
            <w:r>
              <w:t>Different standards for pupils and visitors depending on whether primary or secondary</w:t>
            </w:r>
          </w:p>
        </w:tc>
        <w:tc>
          <w:tcPr>
            <w:tcW w:w="2551" w:type="dxa"/>
          </w:tcPr>
          <w:p w:rsidR="00131454" w:rsidRDefault="00131454" w:rsidP="00AA53B6">
            <w:r>
              <w:t>1/2 staff members</w:t>
            </w:r>
          </w:p>
        </w:tc>
        <w:tc>
          <w:tcPr>
            <w:tcW w:w="1843" w:type="dxa"/>
          </w:tcPr>
          <w:p w:rsidR="00131454" w:rsidRDefault="00131454" w:rsidP="00AA53B6">
            <w:r>
              <w:t>2/classroom for staff and visitors</w:t>
            </w:r>
          </w:p>
          <w:p w:rsidR="00131454" w:rsidRDefault="00131454" w:rsidP="00AA53B6"/>
          <w:p w:rsidR="00131454" w:rsidRDefault="00131454" w:rsidP="00AA53B6">
            <w:r>
              <w:t>0 parking for parents dropping or collecting children</w:t>
            </w:r>
          </w:p>
        </w:tc>
        <w:tc>
          <w:tcPr>
            <w:tcW w:w="1843" w:type="dxa"/>
          </w:tcPr>
          <w:p w:rsidR="00131454" w:rsidRDefault="00131454" w:rsidP="00AA53B6">
            <w:r>
              <w:t>1/classroom</w:t>
            </w:r>
          </w:p>
          <w:p w:rsidR="00131454" w:rsidRDefault="00131454" w:rsidP="00AA53B6"/>
          <w:p w:rsidR="00131454" w:rsidRDefault="00131454" w:rsidP="00AA53B6"/>
          <w:p w:rsidR="00131454" w:rsidRDefault="00131454" w:rsidP="00AA53B6">
            <w:r>
              <w:t>0 parking for parents dropping or collecting children</w:t>
            </w:r>
          </w:p>
        </w:tc>
      </w:tr>
      <w:tr w:rsidR="00131454" w:rsidTr="00C20A7E">
        <w:tc>
          <w:tcPr>
            <w:tcW w:w="1526" w:type="dxa"/>
            <w:vMerge/>
          </w:tcPr>
          <w:p w:rsidR="00131454" w:rsidRDefault="00131454" w:rsidP="00AA53B6"/>
        </w:tc>
        <w:tc>
          <w:tcPr>
            <w:tcW w:w="1417" w:type="dxa"/>
          </w:tcPr>
          <w:p w:rsidR="00131454" w:rsidRDefault="00131454" w:rsidP="00AA53B6">
            <w:r>
              <w:t>Art gallery, museum, exhibition hall or library</w:t>
            </w:r>
          </w:p>
        </w:tc>
        <w:tc>
          <w:tcPr>
            <w:tcW w:w="1701" w:type="dxa"/>
          </w:tcPr>
          <w:p w:rsidR="00131454" w:rsidRDefault="00131454" w:rsidP="00AA53B6">
            <w:r>
              <w:t>1/30sq.m</w:t>
            </w:r>
          </w:p>
        </w:tc>
        <w:tc>
          <w:tcPr>
            <w:tcW w:w="1701" w:type="dxa"/>
          </w:tcPr>
          <w:p w:rsidR="00131454" w:rsidRDefault="00131454" w:rsidP="00AA53B6">
            <w:r>
              <w:t>1/60sq.m</w:t>
            </w:r>
          </w:p>
        </w:tc>
        <w:tc>
          <w:tcPr>
            <w:tcW w:w="2127" w:type="dxa"/>
          </w:tcPr>
          <w:p w:rsidR="00131454" w:rsidRDefault="00131454" w:rsidP="00AA53B6">
            <w:r>
              <w:t>1/30sq.m</w:t>
            </w:r>
          </w:p>
        </w:tc>
        <w:tc>
          <w:tcPr>
            <w:tcW w:w="2551" w:type="dxa"/>
          </w:tcPr>
          <w:p w:rsidR="00131454" w:rsidRDefault="00131454" w:rsidP="00AA53B6"/>
          <w:p w:rsidR="00131454" w:rsidRDefault="00131454" w:rsidP="00AA53B6">
            <w:pPr>
              <w:jc w:val="center"/>
            </w:pPr>
            <w:r>
              <w:t>-</w:t>
            </w:r>
          </w:p>
        </w:tc>
        <w:tc>
          <w:tcPr>
            <w:tcW w:w="1843" w:type="dxa"/>
          </w:tcPr>
          <w:p w:rsidR="00131454" w:rsidRDefault="00131454" w:rsidP="00AA53B6"/>
        </w:tc>
        <w:tc>
          <w:tcPr>
            <w:tcW w:w="1843" w:type="dxa"/>
          </w:tcPr>
          <w:p w:rsidR="00131454" w:rsidRDefault="00131454" w:rsidP="00AA53B6"/>
        </w:tc>
      </w:tr>
      <w:tr w:rsidR="00131454" w:rsidTr="00C20A7E">
        <w:tc>
          <w:tcPr>
            <w:tcW w:w="1526" w:type="dxa"/>
            <w:vMerge/>
          </w:tcPr>
          <w:p w:rsidR="00131454" w:rsidRDefault="00131454" w:rsidP="00AA53B6"/>
        </w:tc>
        <w:tc>
          <w:tcPr>
            <w:tcW w:w="1417" w:type="dxa"/>
          </w:tcPr>
          <w:p w:rsidR="00131454" w:rsidRDefault="00131454" w:rsidP="00AA53B6">
            <w:r>
              <w:t>Public Hall or Places of Worship</w:t>
            </w:r>
          </w:p>
        </w:tc>
        <w:tc>
          <w:tcPr>
            <w:tcW w:w="1701" w:type="dxa"/>
          </w:tcPr>
          <w:p w:rsidR="00131454" w:rsidRDefault="00131454" w:rsidP="00AA53B6">
            <w:r>
              <w:t>1/10sq.m or 1/5 seats(or person spaces)</w:t>
            </w:r>
          </w:p>
          <w:p w:rsidR="00131454" w:rsidRDefault="00131454" w:rsidP="00AA53B6">
            <w:r>
              <w:lastRenderedPageBreak/>
              <w:t>(public halls considered on own merits)</w:t>
            </w:r>
          </w:p>
        </w:tc>
        <w:tc>
          <w:tcPr>
            <w:tcW w:w="1701" w:type="dxa"/>
          </w:tcPr>
          <w:p w:rsidR="00131454" w:rsidRDefault="00131454" w:rsidP="00AA53B6">
            <w:r>
              <w:lastRenderedPageBreak/>
              <w:t xml:space="preserve">1/20sq.m or 1/10 seats/person </w:t>
            </w:r>
            <w:r>
              <w:lastRenderedPageBreak/>
              <w:t>spaces</w:t>
            </w:r>
          </w:p>
          <w:p w:rsidR="00131454" w:rsidRDefault="00131454" w:rsidP="00AA53B6">
            <w:r>
              <w:t>(public halls to be considered on own merits</w:t>
            </w:r>
          </w:p>
        </w:tc>
        <w:tc>
          <w:tcPr>
            <w:tcW w:w="2127" w:type="dxa"/>
          </w:tcPr>
          <w:p w:rsidR="00131454" w:rsidRDefault="00131454" w:rsidP="00AA53B6">
            <w:r>
              <w:lastRenderedPageBreak/>
              <w:t>1/30sq.m</w:t>
            </w:r>
          </w:p>
        </w:tc>
        <w:tc>
          <w:tcPr>
            <w:tcW w:w="2551" w:type="dxa"/>
          </w:tcPr>
          <w:p w:rsidR="00131454" w:rsidRDefault="00131454" w:rsidP="00AA53B6">
            <w:pPr>
              <w:jc w:val="center"/>
            </w:pPr>
            <w:r>
              <w:t>-</w:t>
            </w:r>
          </w:p>
        </w:tc>
        <w:tc>
          <w:tcPr>
            <w:tcW w:w="1843" w:type="dxa"/>
          </w:tcPr>
          <w:p w:rsidR="00131454" w:rsidRDefault="00131454" w:rsidP="00AA53B6">
            <w:r>
              <w:t>1/5 fixed seats or 1/10sq.m</w:t>
            </w:r>
          </w:p>
        </w:tc>
        <w:tc>
          <w:tcPr>
            <w:tcW w:w="1843" w:type="dxa"/>
          </w:tcPr>
          <w:p w:rsidR="00131454" w:rsidRDefault="00131454" w:rsidP="00AA53B6">
            <w:r>
              <w:t>0.5/5 fixed seats or 0.5/10sq.m</w:t>
            </w:r>
          </w:p>
        </w:tc>
      </w:tr>
      <w:tr w:rsidR="00C20A7E" w:rsidTr="00C20A7E">
        <w:tc>
          <w:tcPr>
            <w:tcW w:w="1526" w:type="dxa"/>
            <w:vMerge w:val="restart"/>
          </w:tcPr>
          <w:p w:rsidR="00C20A7E" w:rsidRPr="00801237" w:rsidRDefault="00C20A7E" w:rsidP="00AA53B6">
            <w:pPr>
              <w:rPr>
                <w:b/>
              </w:rPr>
            </w:pPr>
            <w:r w:rsidRPr="00801237">
              <w:rPr>
                <w:b/>
              </w:rPr>
              <w:lastRenderedPageBreak/>
              <w:t>D2 – Assembly and leisure</w:t>
            </w:r>
          </w:p>
        </w:tc>
        <w:tc>
          <w:tcPr>
            <w:tcW w:w="1417" w:type="dxa"/>
          </w:tcPr>
          <w:p w:rsidR="00C20A7E" w:rsidRDefault="00C20A7E" w:rsidP="00AA53B6">
            <w:r>
              <w:t>Cinemas, conference facilities, concert halls, theatres and other spectator facilities</w:t>
            </w:r>
          </w:p>
        </w:tc>
        <w:tc>
          <w:tcPr>
            <w:tcW w:w="1701" w:type="dxa"/>
          </w:tcPr>
          <w:p w:rsidR="00C20A7E" w:rsidRDefault="00C20A7E" w:rsidP="00AA53B6">
            <w:r>
              <w:t>1/5 seats</w:t>
            </w:r>
          </w:p>
        </w:tc>
        <w:tc>
          <w:tcPr>
            <w:tcW w:w="1701" w:type="dxa"/>
          </w:tcPr>
          <w:p w:rsidR="00C20A7E" w:rsidRDefault="00C20A7E" w:rsidP="00AA53B6">
            <w:r>
              <w:t>1/10 seats</w:t>
            </w:r>
          </w:p>
        </w:tc>
        <w:tc>
          <w:tcPr>
            <w:tcW w:w="2127" w:type="dxa"/>
          </w:tcPr>
          <w:p w:rsidR="00C20A7E" w:rsidRDefault="00C20A7E" w:rsidP="00AA53B6">
            <w:r>
              <w:t>1/5 seats</w:t>
            </w:r>
          </w:p>
        </w:tc>
        <w:tc>
          <w:tcPr>
            <w:tcW w:w="2551" w:type="dxa"/>
          </w:tcPr>
          <w:p w:rsidR="00C20A7E" w:rsidRDefault="00C20A7E" w:rsidP="00AA53B6">
            <w:r>
              <w:t>1/3 seats</w:t>
            </w:r>
          </w:p>
        </w:tc>
        <w:tc>
          <w:tcPr>
            <w:tcW w:w="1843" w:type="dxa"/>
          </w:tcPr>
          <w:p w:rsidR="00C20A7E" w:rsidRDefault="00C20A7E" w:rsidP="00AA53B6">
            <w:r>
              <w:t>1/5 seats</w:t>
            </w:r>
          </w:p>
        </w:tc>
        <w:tc>
          <w:tcPr>
            <w:tcW w:w="1843" w:type="dxa"/>
          </w:tcPr>
          <w:p w:rsidR="00C20A7E" w:rsidRDefault="00C20A7E" w:rsidP="00AA53B6">
            <w:r>
              <w:t>1/10 seats</w:t>
            </w:r>
          </w:p>
        </w:tc>
      </w:tr>
      <w:tr w:rsidR="00C20A7E" w:rsidTr="00C20A7E">
        <w:tc>
          <w:tcPr>
            <w:tcW w:w="1526" w:type="dxa"/>
            <w:vMerge/>
          </w:tcPr>
          <w:p w:rsidR="00C20A7E" w:rsidRPr="00801237" w:rsidRDefault="00C20A7E" w:rsidP="00AA53B6">
            <w:pPr>
              <w:rPr>
                <w:b/>
              </w:rPr>
            </w:pPr>
          </w:p>
        </w:tc>
        <w:tc>
          <w:tcPr>
            <w:tcW w:w="1417" w:type="dxa"/>
          </w:tcPr>
          <w:p w:rsidR="00C20A7E" w:rsidRDefault="00C20A7E" w:rsidP="00AA53B6">
            <w:r>
              <w:t>Dance halls, discotheques and indoor play areas</w:t>
            </w:r>
          </w:p>
        </w:tc>
        <w:tc>
          <w:tcPr>
            <w:tcW w:w="1701" w:type="dxa"/>
          </w:tcPr>
          <w:p w:rsidR="00C20A7E" w:rsidRDefault="00C20A7E" w:rsidP="00AA53B6">
            <w:r>
              <w:t xml:space="preserve">1/20 </w:t>
            </w:r>
            <w:proofErr w:type="spellStart"/>
            <w:r>
              <w:t>sq.m</w:t>
            </w:r>
            <w:proofErr w:type="spellEnd"/>
          </w:p>
        </w:tc>
        <w:tc>
          <w:tcPr>
            <w:tcW w:w="1701" w:type="dxa"/>
          </w:tcPr>
          <w:p w:rsidR="00C20A7E" w:rsidRDefault="00C20A7E" w:rsidP="00AA53B6">
            <w:r>
              <w:t>1/40sq.m</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1/22sq.m</w:t>
            </w:r>
          </w:p>
        </w:tc>
        <w:tc>
          <w:tcPr>
            <w:tcW w:w="1843" w:type="dxa"/>
          </w:tcPr>
          <w:p w:rsidR="00C20A7E" w:rsidRDefault="00C20A7E" w:rsidP="00AA53B6">
            <w:r>
              <w:t>1/44sq.m</w:t>
            </w:r>
          </w:p>
        </w:tc>
      </w:tr>
      <w:tr w:rsidR="00C20A7E" w:rsidTr="00C20A7E">
        <w:tc>
          <w:tcPr>
            <w:tcW w:w="1526" w:type="dxa"/>
            <w:vMerge/>
          </w:tcPr>
          <w:p w:rsidR="00C20A7E" w:rsidRPr="00801237" w:rsidRDefault="00C20A7E" w:rsidP="00AA53B6">
            <w:pPr>
              <w:rPr>
                <w:b/>
              </w:rPr>
            </w:pPr>
          </w:p>
        </w:tc>
        <w:tc>
          <w:tcPr>
            <w:tcW w:w="1417" w:type="dxa"/>
          </w:tcPr>
          <w:p w:rsidR="00C20A7E" w:rsidRDefault="00C20A7E" w:rsidP="00AA53B6">
            <w:r>
              <w:t>Bowling centres and bowling greens</w:t>
            </w:r>
          </w:p>
        </w:tc>
        <w:tc>
          <w:tcPr>
            <w:tcW w:w="1701" w:type="dxa"/>
          </w:tcPr>
          <w:p w:rsidR="00C20A7E" w:rsidRDefault="00C20A7E" w:rsidP="00AA53B6">
            <w:r>
              <w:t>3/lane</w:t>
            </w:r>
          </w:p>
        </w:tc>
        <w:tc>
          <w:tcPr>
            <w:tcW w:w="1701" w:type="dxa"/>
          </w:tcPr>
          <w:p w:rsidR="00C20A7E" w:rsidRDefault="00C20A7E" w:rsidP="00AA53B6">
            <w:r>
              <w:t>1.5/lane</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3/lane</w:t>
            </w:r>
          </w:p>
        </w:tc>
        <w:tc>
          <w:tcPr>
            <w:tcW w:w="1843" w:type="dxa"/>
          </w:tcPr>
          <w:p w:rsidR="00C20A7E" w:rsidRDefault="00C20A7E" w:rsidP="00AA53B6">
            <w:r>
              <w:t>1.5/lane</w:t>
            </w:r>
          </w:p>
        </w:tc>
      </w:tr>
      <w:tr w:rsidR="00C20A7E" w:rsidTr="00C20A7E">
        <w:tc>
          <w:tcPr>
            <w:tcW w:w="1526" w:type="dxa"/>
            <w:vMerge/>
          </w:tcPr>
          <w:p w:rsidR="00C20A7E" w:rsidRDefault="00C20A7E" w:rsidP="00AA53B6"/>
        </w:tc>
        <w:tc>
          <w:tcPr>
            <w:tcW w:w="1417" w:type="dxa"/>
          </w:tcPr>
          <w:p w:rsidR="00C20A7E" w:rsidRDefault="00C20A7E" w:rsidP="00AA53B6">
            <w:r>
              <w:t>Swimming pools, health clubs and gymnasia (+sports halls*)</w:t>
            </w:r>
          </w:p>
        </w:tc>
        <w:tc>
          <w:tcPr>
            <w:tcW w:w="1701" w:type="dxa"/>
          </w:tcPr>
          <w:p w:rsidR="00C20A7E" w:rsidRDefault="00C20A7E" w:rsidP="00AA53B6">
            <w:r>
              <w:t>1/10sqm + 1/ 4 spectator seats (for both spectators and staff)</w:t>
            </w:r>
          </w:p>
        </w:tc>
        <w:tc>
          <w:tcPr>
            <w:tcW w:w="1701" w:type="dxa"/>
          </w:tcPr>
          <w:p w:rsidR="00C20A7E" w:rsidRDefault="00C20A7E" w:rsidP="00AA53B6">
            <w:r>
              <w:t>1/20sqm + 1/8 spectator seats (for both spectators and staff)</w:t>
            </w:r>
          </w:p>
        </w:tc>
        <w:tc>
          <w:tcPr>
            <w:tcW w:w="2127" w:type="dxa"/>
          </w:tcPr>
          <w:p w:rsidR="00C20A7E" w:rsidRDefault="00C20A7E" w:rsidP="00AA53B6">
            <w:r>
              <w:t>1/10sq.m public area</w:t>
            </w:r>
          </w:p>
        </w:tc>
        <w:tc>
          <w:tcPr>
            <w:tcW w:w="2551" w:type="dxa"/>
          </w:tcPr>
          <w:p w:rsidR="00C20A7E" w:rsidRDefault="00C20A7E" w:rsidP="00AA53B6">
            <w:r>
              <w:t>1/20sq.m</w:t>
            </w:r>
          </w:p>
        </w:tc>
        <w:tc>
          <w:tcPr>
            <w:tcW w:w="1843" w:type="dxa"/>
          </w:tcPr>
          <w:p w:rsidR="00C20A7E" w:rsidRDefault="00C20A7E" w:rsidP="00AA53B6">
            <w:r>
              <w:t>1/3 staff + 1/10sq.m pool and hall space</w:t>
            </w:r>
          </w:p>
        </w:tc>
        <w:tc>
          <w:tcPr>
            <w:tcW w:w="1843" w:type="dxa"/>
          </w:tcPr>
          <w:p w:rsidR="00C20A7E" w:rsidRDefault="00C20A7E" w:rsidP="00AA53B6">
            <w:r>
              <w:t>0.5/3 staff + 1/10sq.m pool and hall space</w:t>
            </w:r>
          </w:p>
        </w:tc>
      </w:tr>
      <w:tr w:rsidR="00C20A7E" w:rsidTr="00C20A7E">
        <w:tc>
          <w:tcPr>
            <w:tcW w:w="1526" w:type="dxa"/>
            <w:vMerge/>
          </w:tcPr>
          <w:p w:rsidR="00C20A7E" w:rsidRDefault="00C20A7E" w:rsidP="00AA53B6"/>
        </w:tc>
        <w:tc>
          <w:tcPr>
            <w:tcW w:w="1417" w:type="dxa"/>
          </w:tcPr>
          <w:p w:rsidR="00C20A7E" w:rsidRDefault="00C20A7E" w:rsidP="00AA53B6">
            <w:r>
              <w:t>Golf courses</w:t>
            </w:r>
          </w:p>
        </w:tc>
        <w:tc>
          <w:tcPr>
            <w:tcW w:w="1701" w:type="dxa"/>
          </w:tcPr>
          <w:p w:rsidR="00C20A7E" w:rsidRDefault="00C20A7E" w:rsidP="00AA53B6">
            <w:r>
              <w:t>3/hole</w:t>
            </w:r>
          </w:p>
        </w:tc>
        <w:tc>
          <w:tcPr>
            <w:tcW w:w="1701" w:type="dxa"/>
          </w:tcPr>
          <w:p w:rsidR="00C20A7E" w:rsidRDefault="00C20A7E" w:rsidP="00AA53B6">
            <w:r>
              <w:t>n/a</w:t>
            </w:r>
          </w:p>
        </w:tc>
        <w:tc>
          <w:tcPr>
            <w:tcW w:w="2127" w:type="dxa"/>
          </w:tcPr>
          <w:p w:rsidR="00C20A7E" w:rsidRDefault="00C20A7E" w:rsidP="00AA53B6">
            <w:r>
              <w:t>3/hole</w:t>
            </w:r>
          </w:p>
        </w:tc>
        <w:tc>
          <w:tcPr>
            <w:tcW w:w="2551" w:type="dxa"/>
          </w:tcPr>
          <w:p w:rsidR="00C20A7E" w:rsidRDefault="00C20A7E" w:rsidP="00AA53B6">
            <w:pPr>
              <w:jc w:val="center"/>
            </w:pPr>
            <w:r>
              <w:t>-</w:t>
            </w:r>
          </w:p>
        </w:tc>
        <w:tc>
          <w:tcPr>
            <w:tcW w:w="1843" w:type="dxa"/>
          </w:tcPr>
          <w:p w:rsidR="00C20A7E" w:rsidRDefault="00C20A7E" w:rsidP="00AA53B6">
            <w:r>
              <w:t>4/hole</w:t>
            </w:r>
          </w:p>
        </w:tc>
        <w:tc>
          <w:tcPr>
            <w:tcW w:w="1843" w:type="dxa"/>
          </w:tcPr>
          <w:p w:rsidR="00C20A7E" w:rsidRDefault="00C20A7E" w:rsidP="00AA53B6">
            <w:pPr>
              <w:jc w:val="center"/>
            </w:pPr>
            <w:r>
              <w:t>-</w:t>
            </w:r>
          </w:p>
        </w:tc>
      </w:tr>
      <w:tr w:rsidR="00C20A7E" w:rsidTr="00C20A7E">
        <w:tc>
          <w:tcPr>
            <w:tcW w:w="1526" w:type="dxa"/>
            <w:vMerge/>
          </w:tcPr>
          <w:p w:rsidR="00C20A7E" w:rsidRDefault="00C20A7E" w:rsidP="00AA53B6"/>
        </w:tc>
        <w:tc>
          <w:tcPr>
            <w:tcW w:w="1417" w:type="dxa"/>
          </w:tcPr>
          <w:p w:rsidR="00C20A7E" w:rsidRDefault="00C20A7E" w:rsidP="00AA53B6">
            <w:r>
              <w:t xml:space="preserve">Golf driving </w:t>
            </w:r>
            <w:r>
              <w:lastRenderedPageBreak/>
              <w:t>ranges</w:t>
            </w:r>
          </w:p>
        </w:tc>
        <w:tc>
          <w:tcPr>
            <w:tcW w:w="1701" w:type="dxa"/>
          </w:tcPr>
          <w:p w:rsidR="00C20A7E" w:rsidRDefault="00C20A7E" w:rsidP="00AA53B6">
            <w:r>
              <w:lastRenderedPageBreak/>
              <w:t>2 spaces / tee</w:t>
            </w:r>
          </w:p>
        </w:tc>
        <w:tc>
          <w:tcPr>
            <w:tcW w:w="1701" w:type="dxa"/>
          </w:tcPr>
          <w:p w:rsidR="00C20A7E" w:rsidRDefault="00C20A7E" w:rsidP="00AA53B6">
            <w:r>
              <w:t>n/a</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2/tee</w:t>
            </w:r>
          </w:p>
        </w:tc>
        <w:tc>
          <w:tcPr>
            <w:tcW w:w="1843" w:type="dxa"/>
          </w:tcPr>
          <w:p w:rsidR="00C20A7E" w:rsidRDefault="00C20A7E" w:rsidP="00AA53B6">
            <w:pPr>
              <w:jc w:val="center"/>
            </w:pPr>
            <w:r>
              <w:t>-</w:t>
            </w:r>
          </w:p>
        </w:tc>
      </w:tr>
      <w:tr w:rsidR="00C20A7E" w:rsidTr="00C20A7E">
        <w:tc>
          <w:tcPr>
            <w:tcW w:w="1526" w:type="dxa"/>
            <w:vMerge/>
          </w:tcPr>
          <w:p w:rsidR="00C20A7E" w:rsidRDefault="00C20A7E" w:rsidP="00AA53B6"/>
        </w:tc>
        <w:tc>
          <w:tcPr>
            <w:tcW w:w="1417" w:type="dxa"/>
          </w:tcPr>
          <w:p w:rsidR="00C20A7E" w:rsidRDefault="00C20A7E" w:rsidP="00AA53B6">
            <w:r>
              <w:t>Marinas, sailing and water based uses, ice rinks</w:t>
            </w:r>
          </w:p>
        </w:tc>
        <w:tc>
          <w:tcPr>
            <w:tcW w:w="1701" w:type="dxa"/>
          </w:tcPr>
          <w:p w:rsidR="00C20A7E" w:rsidRDefault="00C20A7E" w:rsidP="00AA53B6">
            <w:r>
              <w:t>Each case considered on its own merits</w:t>
            </w:r>
          </w:p>
        </w:tc>
        <w:tc>
          <w:tcPr>
            <w:tcW w:w="1701" w:type="dxa"/>
          </w:tcPr>
          <w:p w:rsidR="00C20A7E" w:rsidRDefault="00C20A7E" w:rsidP="00AA53B6">
            <w:r>
              <w:t>Each case considered on its own merits</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1/1 staff + ½ participants</w:t>
            </w:r>
          </w:p>
        </w:tc>
        <w:tc>
          <w:tcPr>
            <w:tcW w:w="1843" w:type="dxa"/>
          </w:tcPr>
          <w:p w:rsidR="00C20A7E" w:rsidRDefault="00C20A7E" w:rsidP="00AA53B6">
            <w:pPr>
              <w:jc w:val="center"/>
            </w:pPr>
            <w:r>
              <w:t>-</w:t>
            </w:r>
          </w:p>
        </w:tc>
      </w:tr>
      <w:tr w:rsidR="00C20A7E" w:rsidTr="00C20A7E">
        <w:tc>
          <w:tcPr>
            <w:tcW w:w="1526" w:type="dxa"/>
            <w:vMerge/>
          </w:tcPr>
          <w:p w:rsidR="00C20A7E" w:rsidRDefault="00C20A7E" w:rsidP="00AA53B6"/>
        </w:tc>
        <w:tc>
          <w:tcPr>
            <w:tcW w:w="1417" w:type="dxa"/>
          </w:tcPr>
          <w:p w:rsidR="00C20A7E" w:rsidRDefault="00C20A7E" w:rsidP="00AA53B6">
            <w:r>
              <w:t>Tennis and badminton courts</w:t>
            </w:r>
          </w:p>
        </w:tc>
        <w:tc>
          <w:tcPr>
            <w:tcW w:w="1701" w:type="dxa"/>
          </w:tcPr>
          <w:p w:rsidR="00C20A7E" w:rsidRDefault="00C20A7E" w:rsidP="00AA53B6">
            <w:r>
              <w:t>3 spaces / court</w:t>
            </w:r>
          </w:p>
        </w:tc>
        <w:tc>
          <w:tcPr>
            <w:tcW w:w="1701" w:type="dxa"/>
          </w:tcPr>
          <w:p w:rsidR="00C20A7E" w:rsidRDefault="00C20A7E" w:rsidP="00AA53B6">
            <w:r>
              <w:t>1.5 / court</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3/ court</w:t>
            </w:r>
          </w:p>
        </w:tc>
        <w:tc>
          <w:tcPr>
            <w:tcW w:w="1843" w:type="dxa"/>
          </w:tcPr>
          <w:p w:rsidR="00C20A7E" w:rsidRDefault="00C20A7E" w:rsidP="00AA53B6">
            <w:r>
              <w:t>1.5/court</w:t>
            </w:r>
          </w:p>
        </w:tc>
      </w:tr>
      <w:tr w:rsidR="00C20A7E" w:rsidTr="00C20A7E">
        <w:tc>
          <w:tcPr>
            <w:tcW w:w="1526" w:type="dxa"/>
            <w:vMerge/>
          </w:tcPr>
          <w:p w:rsidR="00C20A7E" w:rsidRDefault="00C20A7E" w:rsidP="00AA53B6"/>
        </w:tc>
        <w:tc>
          <w:tcPr>
            <w:tcW w:w="1417" w:type="dxa"/>
          </w:tcPr>
          <w:p w:rsidR="00C20A7E" w:rsidRDefault="00C20A7E" w:rsidP="00AA53B6">
            <w:r>
              <w:t>Squash courts</w:t>
            </w:r>
          </w:p>
        </w:tc>
        <w:tc>
          <w:tcPr>
            <w:tcW w:w="1701" w:type="dxa"/>
          </w:tcPr>
          <w:p w:rsidR="00C20A7E" w:rsidRDefault="00C20A7E" w:rsidP="00AA53B6">
            <w:r>
              <w:t>2 spaces / court</w:t>
            </w:r>
          </w:p>
        </w:tc>
        <w:tc>
          <w:tcPr>
            <w:tcW w:w="1701" w:type="dxa"/>
          </w:tcPr>
          <w:p w:rsidR="00C20A7E" w:rsidRDefault="00C20A7E" w:rsidP="00AA53B6">
            <w:r>
              <w:t>1 / court</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3/court</w:t>
            </w:r>
          </w:p>
        </w:tc>
        <w:tc>
          <w:tcPr>
            <w:tcW w:w="1843" w:type="dxa"/>
          </w:tcPr>
          <w:p w:rsidR="00C20A7E" w:rsidRDefault="00C20A7E" w:rsidP="00AA53B6">
            <w:r>
              <w:t>1.5/court</w:t>
            </w:r>
          </w:p>
        </w:tc>
      </w:tr>
      <w:tr w:rsidR="00C20A7E" w:rsidTr="00C20A7E">
        <w:tc>
          <w:tcPr>
            <w:tcW w:w="1526" w:type="dxa"/>
            <w:vMerge/>
          </w:tcPr>
          <w:p w:rsidR="00C20A7E" w:rsidRDefault="00C20A7E" w:rsidP="00AA53B6"/>
        </w:tc>
        <w:tc>
          <w:tcPr>
            <w:tcW w:w="1417" w:type="dxa"/>
          </w:tcPr>
          <w:p w:rsidR="00C20A7E" w:rsidRDefault="00C20A7E" w:rsidP="00AA53B6">
            <w:r>
              <w:t>Playing fields</w:t>
            </w:r>
          </w:p>
        </w:tc>
        <w:tc>
          <w:tcPr>
            <w:tcW w:w="1701" w:type="dxa"/>
          </w:tcPr>
          <w:p w:rsidR="00C20A7E" w:rsidRDefault="00C20A7E" w:rsidP="00AA53B6">
            <w:r>
              <w:t>12 / pitch plus motor coach space per pitch</w:t>
            </w:r>
          </w:p>
        </w:tc>
        <w:tc>
          <w:tcPr>
            <w:tcW w:w="1701" w:type="dxa"/>
          </w:tcPr>
          <w:p w:rsidR="00C20A7E" w:rsidRDefault="00C20A7E" w:rsidP="00AA53B6">
            <w:r>
              <w:t xml:space="preserve">6 / pitch + motor coach space per pitch </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r>
              <w:t>12/ ha of pitch area</w:t>
            </w:r>
          </w:p>
        </w:tc>
        <w:tc>
          <w:tcPr>
            <w:tcW w:w="1843" w:type="dxa"/>
          </w:tcPr>
          <w:p w:rsidR="00C20A7E" w:rsidRDefault="00C20A7E" w:rsidP="00AA53B6">
            <w:r>
              <w:t>6/ha of pitch area</w:t>
            </w:r>
          </w:p>
        </w:tc>
      </w:tr>
      <w:tr w:rsidR="00C20A7E" w:rsidTr="00C20A7E">
        <w:tc>
          <w:tcPr>
            <w:tcW w:w="1526" w:type="dxa"/>
            <w:vMerge/>
          </w:tcPr>
          <w:p w:rsidR="00C20A7E" w:rsidRDefault="00C20A7E" w:rsidP="00AA53B6"/>
        </w:tc>
        <w:tc>
          <w:tcPr>
            <w:tcW w:w="1417" w:type="dxa"/>
          </w:tcPr>
          <w:p w:rsidR="00C20A7E" w:rsidRDefault="00C20A7E" w:rsidP="00AA53B6">
            <w:r>
              <w:t>Stadia</w:t>
            </w:r>
            <w:r w:rsidR="00EA61A1">
              <w:t xml:space="preserve"> (referred to as ‘sports grounds’ in Rugby and Northamptonshire)</w:t>
            </w:r>
          </w:p>
        </w:tc>
        <w:tc>
          <w:tcPr>
            <w:tcW w:w="1701" w:type="dxa"/>
          </w:tcPr>
          <w:p w:rsidR="00C20A7E" w:rsidRDefault="00C20A7E" w:rsidP="00AA53B6">
            <w:r>
              <w:t>1/15 seats + motor coach parking</w:t>
            </w:r>
          </w:p>
        </w:tc>
        <w:tc>
          <w:tcPr>
            <w:tcW w:w="1701" w:type="dxa"/>
          </w:tcPr>
          <w:p w:rsidR="00C20A7E" w:rsidRDefault="00C20A7E" w:rsidP="00AA53B6">
            <w:r>
              <w:t>n/a</w:t>
            </w:r>
          </w:p>
        </w:tc>
        <w:tc>
          <w:tcPr>
            <w:tcW w:w="2127" w:type="dxa"/>
          </w:tcPr>
          <w:p w:rsidR="00EA61A1" w:rsidRDefault="00EA61A1" w:rsidP="00EA61A1">
            <w:r>
              <w:t>20/ pitch plus 1/5 spectator seats</w:t>
            </w:r>
          </w:p>
          <w:p w:rsidR="00EA61A1" w:rsidRDefault="00EA61A1" w:rsidP="00EA61A1"/>
          <w:p w:rsidR="00C20A7E" w:rsidRDefault="00EA61A1" w:rsidP="008276B2">
            <w:r>
              <w:t>Stadia – 1/FT staff + 1/15 spectators +coach parking</w:t>
            </w:r>
          </w:p>
        </w:tc>
        <w:tc>
          <w:tcPr>
            <w:tcW w:w="2551" w:type="dxa"/>
          </w:tcPr>
          <w:p w:rsidR="00C20A7E" w:rsidRDefault="008276B2" w:rsidP="008276B2">
            <w:r>
              <w:t>1/20sq.m</w:t>
            </w:r>
          </w:p>
        </w:tc>
        <w:tc>
          <w:tcPr>
            <w:tcW w:w="1843" w:type="dxa"/>
          </w:tcPr>
          <w:p w:rsidR="00C20A7E" w:rsidRDefault="008276B2" w:rsidP="00AA53B6">
            <w:r>
              <w:t>1/3 staff + 1/30sq.m playing area</w:t>
            </w:r>
          </w:p>
        </w:tc>
        <w:tc>
          <w:tcPr>
            <w:tcW w:w="1843" w:type="dxa"/>
          </w:tcPr>
          <w:p w:rsidR="00C20A7E" w:rsidRDefault="008276B2" w:rsidP="008276B2">
            <w:r>
              <w:t>0.5/3 staff + 0.5/30sq.m playing area</w:t>
            </w:r>
          </w:p>
        </w:tc>
      </w:tr>
      <w:tr w:rsidR="00C20A7E" w:rsidTr="00C20A7E">
        <w:tc>
          <w:tcPr>
            <w:tcW w:w="1526" w:type="dxa"/>
            <w:vMerge/>
          </w:tcPr>
          <w:p w:rsidR="00C20A7E" w:rsidRDefault="00C20A7E" w:rsidP="00AA53B6"/>
        </w:tc>
        <w:tc>
          <w:tcPr>
            <w:tcW w:w="1417" w:type="dxa"/>
          </w:tcPr>
          <w:p w:rsidR="00C20A7E" w:rsidRDefault="00C20A7E" w:rsidP="00AA53B6">
            <w:r>
              <w:t>Composite facilities and other sports and leisure facilities</w:t>
            </w:r>
          </w:p>
        </w:tc>
        <w:tc>
          <w:tcPr>
            <w:tcW w:w="1701" w:type="dxa"/>
          </w:tcPr>
          <w:p w:rsidR="00C20A7E" w:rsidRDefault="00C20A7E" w:rsidP="00AA53B6">
            <w:r>
              <w:t>Each case considered on its own merits based on the standards set out above.</w:t>
            </w:r>
          </w:p>
        </w:tc>
        <w:tc>
          <w:tcPr>
            <w:tcW w:w="1701" w:type="dxa"/>
          </w:tcPr>
          <w:p w:rsidR="00C20A7E" w:rsidRDefault="00C20A7E" w:rsidP="00AA53B6">
            <w:r>
              <w:t>Each case considered on its own merits based on the standards set out above.</w:t>
            </w:r>
          </w:p>
        </w:tc>
        <w:tc>
          <w:tcPr>
            <w:tcW w:w="2127" w:type="dxa"/>
          </w:tcPr>
          <w:p w:rsidR="00C20A7E" w:rsidRDefault="00C20A7E" w:rsidP="00AA53B6">
            <w:pPr>
              <w:jc w:val="center"/>
            </w:pPr>
            <w:r>
              <w:t>-</w:t>
            </w:r>
          </w:p>
        </w:tc>
        <w:tc>
          <w:tcPr>
            <w:tcW w:w="2551" w:type="dxa"/>
          </w:tcPr>
          <w:p w:rsidR="00C20A7E" w:rsidRDefault="00C20A7E" w:rsidP="00AA53B6">
            <w:pPr>
              <w:jc w:val="center"/>
            </w:pPr>
            <w:r>
              <w:t>-</w:t>
            </w:r>
          </w:p>
        </w:tc>
        <w:tc>
          <w:tcPr>
            <w:tcW w:w="1843" w:type="dxa"/>
          </w:tcPr>
          <w:p w:rsidR="00C20A7E" w:rsidRDefault="00C20A7E" w:rsidP="00AA53B6"/>
        </w:tc>
        <w:tc>
          <w:tcPr>
            <w:tcW w:w="1843" w:type="dxa"/>
          </w:tcPr>
          <w:p w:rsidR="00C20A7E" w:rsidRDefault="00C20A7E" w:rsidP="00AA53B6">
            <w:pPr>
              <w:jc w:val="center"/>
            </w:pPr>
          </w:p>
        </w:tc>
      </w:tr>
      <w:tr w:rsidR="00416061" w:rsidTr="00C20A7E">
        <w:tc>
          <w:tcPr>
            <w:tcW w:w="1526" w:type="dxa"/>
            <w:vMerge w:val="restart"/>
          </w:tcPr>
          <w:p w:rsidR="00416061" w:rsidRPr="00B143CD" w:rsidRDefault="00416061" w:rsidP="00AA53B6">
            <w:pPr>
              <w:rPr>
                <w:b/>
              </w:rPr>
            </w:pPr>
            <w:r w:rsidRPr="00B143CD">
              <w:rPr>
                <w:b/>
              </w:rPr>
              <w:t>Sui Generis</w:t>
            </w:r>
          </w:p>
        </w:tc>
        <w:tc>
          <w:tcPr>
            <w:tcW w:w="1417" w:type="dxa"/>
          </w:tcPr>
          <w:p w:rsidR="00416061" w:rsidRDefault="00416061" w:rsidP="00AA53B6">
            <w:r>
              <w:t xml:space="preserve">Garages, </w:t>
            </w:r>
            <w:r>
              <w:lastRenderedPageBreak/>
              <w:t>service stations and tyre/exhaust centres</w:t>
            </w:r>
          </w:p>
        </w:tc>
        <w:tc>
          <w:tcPr>
            <w:tcW w:w="1701" w:type="dxa"/>
          </w:tcPr>
          <w:p w:rsidR="00416061" w:rsidRDefault="00416061" w:rsidP="00AA53B6"/>
          <w:p w:rsidR="00416061" w:rsidRDefault="00416061" w:rsidP="00AA53B6">
            <w:r>
              <w:lastRenderedPageBreak/>
              <w:t>1/20sq.m</w:t>
            </w:r>
          </w:p>
        </w:tc>
        <w:tc>
          <w:tcPr>
            <w:tcW w:w="1701" w:type="dxa"/>
          </w:tcPr>
          <w:p w:rsidR="00416061" w:rsidRDefault="00416061" w:rsidP="00AA53B6"/>
          <w:p w:rsidR="00416061" w:rsidRDefault="00416061" w:rsidP="00AA53B6">
            <w:pPr>
              <w:jc w:val="center"/>
            </w:pPr>
            <w:r>
              <w:lastRenderedPageBreak/>
              <w:t>-</w:t>
            </w:r>
          </w:p>
        </w:tc>
        <w:tc>
          <w:tcPr>
            <w:tcW w:w="2127" w:type="dxa"/>
          </w:tcPr>
          <w:p w:rsidR="00416061" w:rsidRDefault="00416061" w:rsidP="00AA53B6">
            <w:r>
              <w:lastRenderedPageBreak/>
              <w:t xml:space="preserve">1/FT staff + 1/35 </w:t>
            </w:r>
            <w:proofErr w:type="spellStart"/>
            <w:r>
              <w:lastRenderedPageBreak/>
              <w:t>sq.m</w:t>
            </w:r>
            <w:proofErr w:type="spellEnd"/>
          </w:p>
        </w:tc>
        <w:tc>
          <w:tcPr>
            <w:tcW w:w="2551" w:type="dxa"/>
          </w:tcPr>
          <w:p w:rsidR="00416061" w:rsidRDefault="00416061" w:rsidP="00AA53B6">
            <w:r>
              <w:lastRenderedPageBreak/>
              <w:t>2/50sq.m</w:t>
            </w:r>
          </w:p>
        </w:tc>
        <w:tc>
          <w:tcPr>
            <w:tcW w:w="3686" w:type="dxa"/>
            <w:gridSpan w:val="2"/>
          </w:tcPr>
          <w:p w:rsidR="00416061" w:rsidRDefault="00416061" w:rsidP="00AA53B6">
            <w:r>
              <w:t xml:space="preserve">1/45sq.m for staff + 3/service bay for </w:t>
            </w:r>
            <w:r>
              <w:lastRenderedPageBreak/>
              <w:t>customers</w:t>
            </w:r>
          </w:p>
        </w:tc>
      </w:tr>
      <w:tr w:rsidR="00416061" w:rsidTr="00C20A7E">
        <w:tc>
          <w:tcPr>
            <w:tcW w:w="1526" w:type="dxa"/>
            <w:vMerge/>
          </w:tcPr>
          <w:p w:rsidR="00416061" w:rsidRDefault="00416061" w:rsidP="00AA53B6"/>
        </w:tc>
        <w:tc>
          <w:tcPr>
            <w:tcW w:w="1417" w:type="dxa"/>
          </w:tcPr>
          <w:p w:rsidR="00416061" w:rsidRDefault="00416061" w:rsidP="00AA53B6">
            <w:r>
              <w:t>Car showrooms</w:t>
            </w:r>
          </w:p>
        </w:tc>
        <w:tc>
          <w:tcPr>
            <w:tcW w:w="1701" w:type="dxa"/>
          </w:tcPr>
          <w:p w:rsidR="00416061" w:rsidRDefault="00416061" w:rsidP="00AA53B6">
            <w:r w:rsidRPr="0053535C">
              <w:t>1/50sq.m car display area</w:t>
            </w:r>
          </w:p>
        </w:tc>
        <w:tc>
          <w:tcPr>
            <w:tcW w:w="1701" w:type="dxa"/>
          </w:tcPr>
          <w:p w:rsidR="00416061" w:rsidRDefault="00416061" w:rsidP="00AA53B6"/>
        </w:tc>
        <w:tc>
          <w:tcPr>
            <w:tcW w:w="2127" w:type="dxa"/>
          </w:tcPr>
          <w:p w:rsidR="00416061" w:rsidRDefault="00416061" w:rsidP="00AA53B6">
            <w:r>
              <w:t>1/45sq.m show area</w:t>
            </w:r>
          </w:p>
        </w:tc>
        <w:tc>
          <w:tcPr>
            <w:tcW w:w="2551" w:type="dxa"/>
          </w:tcPr>
          <w:p w:rsidR="00416061" w:rsidRPr="0053535C" w:rsidRDefault="00416061" w:rsidP="00AA53B6">
            <w:r w:rsidRPr="0053535C">
              <w:t>2/100sq.m including outdoor display areas.</w:t>
            </w:r>
          </w:p>
        </w:tc>
        <w:tc>
          <w:tcPr>
            <w:tcW w:w="3686" w:type="dxa"/>
            <w:gridSpan w:val="2"/>
          </w:tcPr>
          <w:p w:rsidR="00416061" w:rsidRPr="0053535C" w:rsidRDefault="00416061" w:rsidP="00AA53B6">
            <w:r w:rsidRPr="0053535C">
              <w:t>1/FTE staff + 1/10 cars on display for customers</w:t>
            </w:r>
          </w:p>
        </w:tc>
      </w:tr>
    </w:tbl>
    <w:p w:rsidR="001553CB" w:rsidRDefault="001553CB" w:rsidP="000675CF"/>
    <w:p w:rsidR="001553CB" w:rsidRDefault="001553CB" w:rsidP="000675CF"/>
    <w:p w:rsidR="00DC3E32" w:rsidRDefault="00DC3E32" w:rsidP="000675CF">
      <w:pPr>
        <w:rPr>
          <w:b/>
          <w:sz w:val="28"/>
          <w:szCs w:val="28"/>
        </w:rPr>
      </w:pPr>
    </w:p>
    <w:p w:rsidR="00DC3E32" w:rsidRDefault="00DC3E32" w:rsidP="000675CF">
      <w:pPr>
        <w:rPr>
          <w:b/>
          <w:sz w:val="28"/>
          <w:szCs w:val="28"/>
        </w:rPr>
      </w:pPr>
    </w:p>
    <w:p w:rsidR="009B281E" w:rsidRDefault="009B281E" w:rsidP="000675CF">
      <w:pPr>
        <w:rPr>
          <w:b/>
          <w:sz w:val="28"/>
          <w:szCs w:val="28"/>
        </w:rPr>
      </w:pPr>
    </w:p>
    <w:p w:rsidR="009B281E" w:rsidRDefault="009B281E" w:rsidP="000675CF">
      <w:pPr>
        <w:rPr>
          <w:b/>
          <w:sz w:val="28"/>
          <w:szCs w:val="28"/>
        </w:rPr>
      </w:pPr>
    </w:p>
    <w:p w:rsidR="009B281E" w:rsidRDefault="009B281E" w:rsidP="000675CF">
      <w:pPr>
        <w:rPr>
          <w:b/>
          <w:sz w:val="28"/>
          <w:szCs w:val="28"/>
        </w:rPr>
      </w:pPr>
    </w:p>
    <w:p w:rsidR="009B281E" w:rsidRDefault="009B281E" w:rsidP="000675CF">
      <w:pPr>
        <w:rPr>
          <w:b/>
          <w:sz w:val="28"/>
          <w:szCs w:val="28"/>
        </w:rPr>
      </w:pPr>
    </w:p>
    <w:p w:rsidR="009B281E" w:rsidRDefault="009B281E" w:rsidP="000675CF">
      <w:pPr>
        <w:rPr>
          <w:b/>
          <w:sz w:val="28"/>
          <w:szCs w:val="28"/>
        </w:rPr>
      </w:pPr>
    </w:p>
    <w:p w:rsidR="009B281E" w:rsidRDefault="009B281E" w:rsidP="000675CF">
      <w:pPr>
        <w:rPr>
          <w:b/>
          <w:sz w:val="28"/>
          <w:szCs w:val="28"/>
        </w:rPr>
      </w:pPr>
    </w:p>
    <w:p w:rsidR="00DC3E32" w:rsidRDefault="00DC3E32" w:rsidP="000675CF">
      <w:pPr>
        <w:rPr>
          <w:b/>
          <w:sz w:val="28"/>
          <w:szCs w:val="28"/>
        </w:rPr>
      </w:pPr>
      <w:r>
        <w:rPr>
          <w:b/>
          <w:sz w:val="28"/>
          <w:szCs w:val="28"/>
        </w:rPr>
        <w:lastRenderedPageBreak/>
        <w:t>Documentary evidence</w:t>
      </w:r>
    </w:p>
    <w:p w:rsidR="00DC3E32" w:rsidRDefault="00147BEE" w:rsidP="00147BEE">
      <w:pPr>
        <w:ind w:left="340" w:hanging="340"/>
      </w:pPr>
      <w:r>
        <w:t xml:space="preserve">3.6 </w:t>
      </w:r>
      <w:r w:rsidR="00DC3E32" w:rsidRPr="00DC3E32">
        <w:t xml:space="preserve">A review of evidence </w:t>
      </w:r>
      <w:r w:rsidR="00DC3E32">
        <w:t>which supported the development of the Local Plan was undertaken, in order to understand if any of it has implications for the review of the District’s parking standards.</w:t>
      </w:r>
    </w:p>
    <w:p w:rsidR="00DC3E32" w:rsidRDefault="00147BEE" w:rsidP="00147BEE">
      <w:pPr>
        <w:ind w:left="340" w:hanging="340"/>
      </w:pPr>
      <w:r>
        <w:t xml:space="preserve">3.7 </w:t>
      </w:r>
      <w:r w:rsidR="00DC3E32">
        <w:t xml:space="preserve">The </w:t>
      </w:r>
      <w:hyperlink r:id="rId12" w:history="1">
        <w:r w:rsidR="00DC3E32" w:rsidRPr="00DC3E32">
          <w:rPr>
            <w:rStyle w:val="Hyperlink"/>
          </w:rPr>
          <w:t>Coventry and Warwickshire Strategic Employment Study (2014)</w:t>
        </w:r>
      </w:hyperlink>
      <w:r w:rsidR="00DC3E32">
        <w:t xml:space="preserve"> was found to contain some useful assumptions regarding the Full Time Equivalent (FTE) jobs anticipated from Gross Internal </w:t>
      </w:r>
      <w:proofErr w:type="spellStart"/>
      <w:r w:rsidR="00DC3E32">
        <w:t>Floorsp</w:t>
      </w:r>
      <w:r w:rsidR="00540A06">
        <w:t>aces</w:t>
      </w:r>
      <w:proofErr w:type="spellEnd"/>
      <w:r w:rsidR="00540A06">
        <w:t xml:space="preserve"> (GIA) for different B use classes</w:t>
      </w:r>
      <w:r w:rsidR="00DC3E32">
        <w:t xml:space="preserve">.  Whilst these assumptions may not be accurate for all developments within each use class, they enabled a testing of the existing </w:t>
      </w:r>
      <w:r w:rsidR="00540A06">
        <w:t>standards in place since 2007, and have contributed to any justification to update standards in the new SPD</w:t>
      </w:r>
      <w:r w:rsidR="00A94A22">
        <w:t xml:space="preserve"> (see table </w:t>
      </w:r>
      <w:r w:rsidR="00AA53B6">
        <w:t>2-2</w:t>
      </w:r>
      <w:r w:rsidR="00A94A22">
        <w:t xml:space="preserve"> below)</w:t>
      </w:r>
      <w:r w:rsidR="00540A06">
        <w:t>.</w:t>
      </w:r>
      <w:r w:rsidR="00DC3E32">
        <w:t xml:space="preserve"> </w:t>
      </w:r>
    </w:p>
    <w:p w:rsidR="00540A06" w:rsidRPr="00DC3E32" w:rsidRDefault="00147BEE" w:rsidP="00147BEE">
      <w:pPr>
        <w:ind w:left="340" w:hanging="340"/>
      </w:pPr>
      <w:r>
        <w:t xml:space="preserve">3.8 </w:t>
      </w:r>
      <w:r w:rsidR="00540A06">
        <w:t>Table 4-1 on page 20 of the above document identifies the employment density assumptions, as set out below.</w:t>
      </w:r>
    </w:p>
    <w:tbl>
      <w:tblPr>
        <w:tblW w:w="0" w:type="auto"/>
        <w:tblBorders>
          <w:top w:val="nil"/>
          <w:left w:val="nil"/>
          <w:bottom w:val="nil"/>
          <w:right w:val="nil"/>
        </w:tblBorders>
        <w:tblLayout w:type="fixed"/>
        <w:tblLook w:val="0000" w:firstRow="0" w:lastRow="0" w:firstColumn="0" w:lastColumn="0" w:noHBand="0" w:noVBand="0"/>
      </w:tblPr>
      <w:tblGrid>
        <w:gridCol w:w="2391"/>
        <w:gridCol w:w="2391"/>
        <w:gridCol w:w="2391"/>
      </w:tblGrid>
      <w:tr w:rsidR="00540A06">
        <w:trPr>
          <w:trHeight w:val="93"/>
        </w:trPr>
        <w:tc>
          <w:tcPr>
            <w:tcW w:w="2391" w:type="dxa"/>
          </w:tcPr>
          <w:p w:rsidR="00540A06" w:rsidRDefault="00540A06">
            <w:pPr>
              <w:pStyle w:val="Default"/>
              <w:rPr>
                <w:sz w:val="20"/>
                <w:szCs w:val="20"/>
              </w:rPr>
            </w:pPr>
            <w:r>
              <w:rPr>
                <w:sz w:val="20"/>
                <w:szCs w:val="20"/>
              </w:rPr>
              <w:t xml:space="preserve">Use class </w:t>
            </w:r>
          </w:p>
        </w:tc>
        <w:tc>
          <w:tcPr>
            <w:tcW w:w="2391" w:type="dxa"/>
          </w:tcPr>
          <w:p w:rsidR="00540A06" w:rsidRDefault="00540A06">
            <w:pPr>
              <w:pStyle w:val="Default"/>
              <w:rPr>
                <w:sz w:val="20"/>
                <w:szCs w:val="20"/>
              </w:rPr>
            </w:pPr>
            <w:r>
              <w:rPr>
                <w:sz w:val="20"/>
                <w:szCs w:val="20"/>
              </w:rPr>
              <w:t xml:space="preserve">Employment density </w:t>
            </w:r>
          </w:p>
        </w:tc>
        <w:tc>
          <w:tcPr>
            <w:tcW w:w="2391" w:type="dxa"/>
          </w:tcPr>
          <w:p w:rsidR="00540A06" w:rsidRDefault="00540A06">
            <w:pPr>
              <w:pStyle w:val="Default"/>
              <w:rPr>
                <w:sz w:val="20"/>
                <w:szCs w:val="20"/>
              </w:rPr>
            </w:pPr>
            <w:r>
              <w:rPr>
                <w:sz w:val="20"/>
                <w:szCs w:val="20"/>
              </w:rPr>
              <w:t xml:space="preserve">Plot ratio </w:t>
            </w:r>
          </w:p>
        </w:tc>
      </w:tr>
      <w:tr w:rsidR="00540A06">
        <w:trPr>
          <w:trHeight w:val="93"/>
        </w:trPr>
        <w:tc>
          <w:tcPr>
            <w:tcW w:w="2391" w:type="dxa"/>
          </w:tcPr>
          <w:p w:rsidR="00540A06" w:rsidRDefault="00540A06">
            <w:pPr>
              <w:pStyle w:val="Default"/>
              <w:rPr>
                <w:sz w:val="20"/>
                <w:szCs w:val="20"/>
              </w:rPr>
            </w:pPr>
            <w:r>
              <w:rPr>
                <w:sz w:val="20"/>
                <w:szCs w:val="20"/>
              </w:rPr>
              <w:t xml:space="preserve">B1a/b </w:t>
            </w:r>
          </w:p>
        </w:tc>
        <w:tc>
          <w:tcPr>
            <w:tcW w:w="2391" w:type="dxa"/>
          </w:tcPr>
          <w:p w:rsidR="00540A06" w:rsidRDefault="00540A06">
            <w:pPr>
              <w:pStyle w:val="Default"/>
              <w:rPr>
                <w:sz w:val="20"/>
                <w:szCs w:val="20"/>
              </w:rPr>
            </w:pPr>
            <w:r>
              <w:rPr>
                <w:sz w:val="20"/>
                <w:szCs w:val="20"/>
              </w:rPr>
              <w:t xml:space="preserve">12 </w:t>
            </w:r>
            <w:proofErr w:type="spellStart"/>
            <w:r>
              <w:rPr>
                <w:sz w:val="20"/>
                <w:szCs w:val="20"/>
              </w:rPr>
              <w:t>sqm</w:t>
            </w:r>
            <w:proofErr w:type="spellEnd"/>
            <w:r>
              <w:rPr>
                <w:sz w:val="20"/>
                <w:szCs w:val="20"/>
              </w:rPr>
              <w:t xml:space="preserve"> per FTE </w:t>
            </w:r>
          </w:p>
        </w:tc>
        <w:tc>
          <w:tcPr>
            <w:tcW w:w="2391" w:type="dxa"/>
          </w:tcPr>
          <w:p w:rsidR="00540A06" w:rsidRDefault="00540A06">
            <w:pPr>
              <w:pStyle w:val="Default"/>
              <w:rPr>
                <w:sz w:val="20"/>
                <w:szCs w:val="20"/>
              </w:rPr>
            </w:pPr>
            <w:r>
              <w:rPr>
                <w:sz w:val="20"/>
                <w:szCs w:val="20"/>
              </w:rPr>
              <w:t xml:space="preserve">50% of site area </w:t>
            </w:r>
          </w:p>
        </w:tc>
      </w:tr>
      <w:tr w:rsidR="00540A06">
        <w:trPr>
          <w:trHeight w:val="93"/>
        </w:trPr>
        <w:tc>
          <w:tcPr>
            <w:tcW w:w="2391" w:type="dxa"/>
          </w:tcPr>
          <w:p w:rsidR="00540A06" w:rsidRDefault="00540A06">
            <w:pPr>
              <w:pStyle w:val="Default"/>
              <w:rPr>
                <w:sz w:val="20"/>
                <w:szCs w:val="20"/>
              </w:rPr>
            </w:pPr>
            <w:r>
              <w:rPr>
                <w:sz w:val="20"/>
                <w:szCs w:val="20"/>
              </w:rPr>
              <w:t xml:space="preserve">B1c </w:t>
            </w:r>
          </w:p>
        </w:tc>
        <w:tc>
          <w:tcPr>
            <w:tcW w:w="2391" w:type="dxa"/>
          </w:tcPr>
          <w:p w:rsidR="00540A06" w:rsidRDefault="00540A06">
            <w:pPr>
              <w:pStyle w:val="Default"/>
              <w:rPr>
                <w:sz w:val="20"/>
                <w:szCs w:val="20"/>
              </w:rPr>
            </w:pPr>
            <w:r>
              <w:rPr>
                <w:sz w:val="20"/>
                <w:szCs w:val="20"/>
              </w:rPr>
              <w:t xml:space="preserve">47 </w:t>
            </w:r>
            <w:proofErr w:type="spellStart"/>
            <w:r>
              <w:rPr>
                <w:sz w:val="20"/>
                <w:szCs w:val="20"/>
              </w:rPr>
              <w:t>sqm</w:t>
            </w:r>
            <w:proofErr w:type="spellEnd"/>
            <w:r>
              <w:rPr>
                <w:sz w:val="20"/>
                <w:szCs w:val="20"/>
              </w:rPr>
              <w:t xml:space="preserve"> per FTE </w:t>
            </w:r>
          </w:p>
        </w:tc>
        <w:tc>
          <w:tcPr>
            <w:tcW w:w="2391" w:type="dxa"/>
          </w:tcPr>
          <w:p w:rsidR="00540A06" w:rsidRDefault="00540A06">
            <w:pPr>
              <w:pStyle w:val="Default"/>
              <w:rPr>
                <w:sz w:val="20"/>
                <w:szCs w:val="20"/>
              </w:rPr>
            </w:pPr>
            <w:r>
              <w:rPr>
                <w:sz w:val="20"/>
                <w:szCs w:val="20"/>
              </w:rPr>
              <w:t xml:space="preserve">40% of site area </w:t>
            </w:r>
          </w:p>
        </w:tc>
      </w:tr>
      <w:tr w:rsidR="00540A06">
        <w:trPr>
          <w:trHeight w:val="93"/>
        </w:trPr>
        <w:tc>
          <w:tcPr>
            <w:tcW w:w="2391" w:type="dxa"/>
          </w:tcPr>
          <w:p w:rsidR="00540A06" w:rsidRDefault="00540A06">
            <w:pPr>
              <w:pStyle w:val="Default"/>
              <w:rPr>
                <w:sz w:val="20"/>
                <w:szCs w:val="20"/>
              </w:rPr>
            </w:pPr>
            <w:r>
              <w:rPr>
                <w:sz w:val="20"/>
                <w:szCs w:val="20"/>
              </w:rPr>
              <w:t xml:space="preserve">B2 </w:t>
            </w:r>
          </w:p>
        </w:tc>
        <w:tc>
          <w:tcPr>
            <w:tcW w:w="2391" w:type="dxa"/>
          </w:tcPr>
          <w:p w:rsidR="00540A06" w:rsidRDefault="00540A06">
            <w:pPr>
              <w:pStyle w:val="Default"/>
              <w:rPr>
                <w:sz w:val="20"/>
                <w:szCs w:val="20"/>
              </w:rPr>
            </w:pPr>
            <w:r>
              <w:rPr>
                <w:sz w:val="20"/>
                <w:szCs w:val="20"/>
              </w:rPr>
              <w:t xml:space="preserve">36 </w:t>
            </w:r>
            <w:proofErr w:type="spellStart"/>
            <w:r>
              <w:rPr>
                <w:sz w:val="20"/>
                <w:szCs w:val="20"/>
              </w:rPr>
              <w:t>sqm</w:t>
            </w:r>
            <w:proofErr w:type="spellEnd"/>
            <w:r>
              <w:rPr>
                <w:sz w:val="20"/>
                <w:szCs w:val="20"/>
              </w:rPr>
              <w:t xml:space="preserve"> per FTE </w:t>
            </w:r>
          </w:p>
        </w:tc>
        <w:tc>
          <w:tcPr>
            <w:tcW w:w="2391" w:type="dxa"/>
          </w:tcPr>
          <w:p w:rsidR="00540A06" w:rsidRDefault="00540A06">
            <w:pPr>
              <w:pStyle w:val="Default"/>
              <w:rPr>
                <w:sz w:val="20"/>
                <w:szCs w:val="20"/>
              </w:rPr>
            </w:pPr>
            <w:r>
              <w:rPr>
                <w:sz w:val="20"/>
                <w:szCs w:val="20"/>
              </w:rPr>
              <w:t xml:space="preserve">40% of site area </w:t>
            </w:r>
          </w:p>
        </w:tc>
      </w:tr>
      <w:tr w:rsidR="00540A06">
        <w:trPr>
          <w:trHeight w:val="93"/>
        </w:trPr>
        <w:tc>
          <w:tcPr>
            <w:tcW w:w="2391" w:type="dxa"/>
          </w:tcPr>
          <w:p w:rsidR="00540A06" w:rsidRDefault="00540A06">
            <w:pPr>
              <w:pStyle w:val="Default"/>
              <w:rPr>
                <w:sz w:val="20"/>
                <w:szCs w:val="20"/>
              </w:rPr>
            </w:pPr>
            <w:r>
              <w:rPr>
                <w:sz w:val="20"/>
                <w:szCs w:val="20"/>
              </w:rPr>
              <w:t xml:space="preserve">B8 </w:t>
            </w:r>
          </w:p>
        </w:tc>
        <w:tc>
          <w:tcPr>
            <w:tcW w:w="2391" w:type="dxa"/>
          </w:tcPr>
          <w:p w:rsidR="00540A06" w:rsidRDefault="00540A06">
            <w:pPr>
              <w:pStyle w:val="Default"/>
              <w:rPr>
                <w:sz w:val="20"/>
                <w:szCs w:val="20"/>
              </w:rPr>
            </w:pPr>
            <w:r>
              <w:rPr>
                <w:sz w:val="20"/>
                <w:szCs w:val="20"/>
              </w:rPr>
              <w:t xml:space="preserve">70 </w:t>
            </w:r>
            <w:proofErr w:type="spellStart"/>
            <w:r>
              <w:rPr>
                <w:sz w:val="20"/>
                <w:szCs w:val="20"/>
              </w:rPr>
              <w:t>sqm</w:t>
            </w:r>
            <w:proofErr w:type="spellEnd"/>
            <w:r>
              <w:rPr>
                <w:sz w:val="20"/>
                <w:szCs w:val="20"/>
              </w:rPr>
              <w:t xml:space="preserve"> per FTE </w:t>
            </w:r>
          </w:p>
        </w:tc>
        <w:tc>
          <w:tcPr>
            <w:tcW w:w="2391" w:type="dxa"/>
          </w:tcPr>
          <w:p w:rsidR="00540A06" w:rsidRDefault="00540A06">
            <w:pPr>
              <w:pStyle w:val="Default"/>
              <w:rPr>
                <w:sz w:val="20"/>
                <w:szCs w:val="20"/>
              </w:rPr>
            </w:pPr>
            <w:r>
              <w:rPr>
                <w:sz w:val="20"/>
                <w:szCs w:val="20"/>
              </w:rPr>
              <w:t xml:space="preserve">50% of site area </w:t>
            </w:r>
          </w:p>
        </w:tc>
      </w:tr>
    </w:tbl>
    <w:p w:rsidR="00DC3E32" w:rsidRDefault="00DC3E32" w:rsidP="000675CF">
      <w:pPr>
        <w:rPr>
          <w:b/>
          <w:sz w:val="28"/>
          <w:szCs w:val="28"/>
        </w:rPr>
      </w:pPr>
    </w:p>
    <w:p w:rsidR="004B280C" w:rsidRDefault="009B281E" w:rsidP="000675CF">
      <w:pPr>
        <w:rPr>
          <w:b/>
          <w:sz w:val="28"/>
          <w:szCs w:val="28"/>
        </w:rPr>
      </w:pPr>
      <w:r>
        <w:rPr>
          <w:b/>
          <w:sz w:val="28"/>
          <w:szCs w:val="28"/>
        </w:rPr>
        <w:t>Observational evidence</w:t>
      </w:r>
    </w:p>
    <w:p w:rsidR="00552863" w:rsidRDefault="00147BEE" w:rsidP="000675CF">
      <w:r>
        <w:t xml:space="preserve">3.9 </w:t>
      </w:r>
      <w:r w:rsidR="001A1AA1" w:rsidRPr="001A1AA1">
        <w:t xml:space="preserve">As part of </w:t>
      </w:r>
      <w:r w:rsidR="001A1AA1">
        <w:t>t</w:t>
      </w:r>
      <w:r w:rsidR="001A1AA1" w:rsidRPr="001A1AA1">
        <w:t xml:space="preserve">he </w:t>
      </w:r>
      <w:r w:rsidR="005B62BC">
        <w:t xml:space="preserve">research for revising the SPD, officers undertook a number of site visits across the district of different types of development.  </w:t>
      </w:r>
    </w:p>
    <w:p w:rsidR="00552863" w:rsidRPr="00552863" w:rsidRDefault="00552863" w:rsidP="000675CF">
      <w:pPr>
        <w:rPr>
          <w:b/>
        </w:rPr>
      </w:pPr>
      <w:r w:rsidRPr="00552863">
        <w:rPr>
          <w:b/>
        </w:rPr>
        <w:t>Tournament Fields, Warwick</w:t>
      </w:r>
    </w:p>
    <w:p w:rsidR="009B281E" w:rsidRPr="001A1AA1" w:rsidRDefault="00147BEE" w:rsidP="00147BEE">
      <w:pPr>
        <w:ind w:left="340" w:hanging="340"/>
      </w:pPr>
      <w:r>
        <w:t xml:space="preserve">3.10 </w:t>
      </w:r>
      <w:r w:rsidR="005B62BC">
        <w:t>One of the most striking site visits was Tournament Fields, where insufficient parking was observed to accommodate the evident demand on a mid-week afternoon in July, despite the corresponding planning permissions demonstrating that the maximum parking standards set out in the 2007 SPD were largely achieved.</w:t>
      </w:r>
      <w:r w:rsidR="00552863">
        <w:t xml:space="preserve">  Tournament Fields comprises a mix of predominantly B1 uses.</w:t>
      </w:r>
    </w:p>
    <w:p w:rsidR="009B281E" w:rsidRDefault="00881A1B" w:rsidP="000675CF">
      <w:pPr>
        <w:rPr>
          <w:b/>
          <w:sz w:val="28"/>
          <w:szCs w:val="28"/>
        </w:rPr>
      </w:pPr>
      <w:r>
        <w:rPr>
          <w:b/>
          <w:noProof/>
          <w:sz w:val="28"/>
          <w:szCs w:val="28"/>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3619500</wp:posOffset>
                </wp:positionH>
                <wp:positionV relativeFrom="paragraph">
                  <wp:posOffset>0</wp:posOffset>
                </wp:positionV>
                <wp:extent cx="1781175" cy="523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7811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1FCD" w:rsidRDefault="00BA1FCD">
                            <w:r>
                              <w:t>Photographs taken at Tournament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5pt;margin-top:0;width:140.25pt;height:4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" fillcolor="white [3201]" stroked="f" strokeweight=".5pt">
                <v:textbox>
                  <w:txbxContent>
                    <w:p w:rsidR="00BA1FCD" w:rsidRDefault="00BA1FCD">
                      <w:r>
                        <w:t>Photographs taken at Tournament Fields</w:t>
                      </w:r>
                    </w:p>
                  </w:txbxContent>
                </v:textbox>
              </v:shape>
            </w:pict>
          </mc:Fallback>
        </mc:AlternateContent>
      </w:r>
      <w:r w:rsidR="00552863">
        <w:rPr>
          <w:b/>
          <w:noProof/>
          <w:sz w:val="28"/>
          <w:szCs w:val="28"/>
          <w:lang w:eastAsia="en-GB"/>
        </w:rPr>
        <w:drawing>
          <wp:anchor distT="0" distB="0" distL="114300" distR="114300" simplePos="0" relativeHeight="251658240" behindDoc="0" locked="0" layoutInCell="1" allowOverlap="1" wp14:anchorId="07C47375" wp14:editId="168E072E">
            <wp:simplePos x="0" y="0"/>
            <wp:positionH relativeFrom="column">
              <wp:posOffset>0</wp:posOffset>
            </wp:positionH>
            <wp:positionV relativeFrom="paragraph">
              <wp:posOffset>0</wp:posOffset>
            </wp:positionV>
            <wp:extent cx="3467100" cy="2600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arwick commercial stre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page">
              <wp14:pctWidth>0</wp14:pctWidth>
            </wp14:sizeRelH>
            <wp14:sizeRelV relativeFrom="page">
              <wp14:pctHeight>0</wp14:pctHeight>
            </wp14:sizeRelV>
          </wp:anchor>
        </w:drawing>
      </w:r>
      <w:r w:rsidR="001A1AA1">
        <w:rPr>
          <w:b/>
          <w:noProof/>
          <w:sz w:val="28"/>
          <w:szCs w:val="28"/>
          <w:lang w:eastAsia="en-GB"/>
        </w:rPr>
        <w:drawing>
          <wp:inline distT="0" distB="0" distL="0" distR="0" wp14:anchorId="61B6219D" wp14:editId="23345CD4">
            <wp:extent cx="3467195"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arwick parking on acce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040" cy="2603208"/>
                    </a:xfrm>
                    <a:prstGeom prst="rect">
                      <a:avLst/>
                    </a:prstGeom>
                  </pic:spPr>
                </pic:pic>
              </a:graphicData>
            </a:graphic>
          </wp:inline>
        </w:drawing>
      </w:r>
    </w:p>
    <w:p w:rsidR="009B281E" w:rsidRDefault="009B281E" w:rsidP="000675CF">
      <w:pPr>
        <w:rPr>
          <w:b/>
          <w:sz w:val="28"/>
          <w:szCs w:val="28"/>
        </w:rPr>
      </w:pPr>
    </w:p>
    <w:p w:rsidR="009B281E" w:rsidRPr="00552863" w:rsidRDefault="00881A1B" w:rsidP="000675CF">
      <w:r w:rsidRPr="00552863">
        <w:rPr>
          <w:noProof/>
          <w:lang w:eastAsia="en-GB"/>
        </w:rPr>
        <w:drawing>
          <wp:anchor distT="0" distB="0" distL="114300" distR="114300" simplePos="0" relativeHeight="251659264" behindDoc="0" locked="0" layoutInCell="1" allowOverlap="1" wp14:anchorId="5024F3C8" wp14:editId="34A9251C">
            <wp:simplePos x="0" y="0"/>
            <wp:positionH relativeFrom="column">
              <wp:posOffset>5153025</wp:posOffset>
            </wp:positionH>
            <wp:positionV relativeFrom="paragraph">
              <wp:posOffset>6985</wp:posOffset>
            </wp:positionV>
            <wp:extent cx="346710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brook Park + on street park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52863" w:rsidRPr="00552863">
        <w:t>Tachbrook</w:t>
      </w:r>
      <w:proofErr w:type="spellEnd"/>
      <w:r w:rsidR="00552863" w:rsidRPr="00552863">
        <w:t xml:space="preserve"> </w:t>
      </w:r>
      <w:r w:rsidR="00552863">
        <w:t xml:space="preserve">Park was another location where </w:t>
      </w:r>
      <w:r>
        <w:t>additional on street parking was observed.</w:t>
      </w:r>
    </w:p>
    <w:p w:rsidR="009B281E" w:rsidRDefault="009B281E" w:rsidP="000675CF">
      <w:pPr>
        <w:rPr>
          <w:b/>
          <w:sz w:val="28"/>
          <w:szCs w:val="28"/>
        </w:rPr>
      </w:pPr>
    </w:p>
    <w:p w:rsidR="00DC3E32" w:rsidRDefault="00DC3E32" w:rsidP="000675CF">
      <w:pPr>
        <w:rPr>
          <w:b/>
          <w:sz w:val="28"/>
          <w:szCs w:val="28"/>
        </w:rPr>
      </w:pPr>
    </w:p>
    <w:p w:rsidR="00552863" w:rsidRDefault="00552863" w:rsidP="000675CF">
      <w:pPr>
        <w:rPr>
          <w:b/>
          <w:sz w:val="28"/>
          <w:szCs w:val="28"/>
        </w:rPr>
      </w:pPr>
    </w:p>
    <w:p w:rsidR="00552863" w:rsidRDefault="00552863" w:rsidP="000675CF">
      <w:pPr>
        <w:rPr>
          <w:b/>
          <w:sz w:val="28"/>
          <w:szCs w:val="28"/>
        </w:rPr>
      </w:pPr>
    </w:p>
    <w:p w:rsidR="00552863" w:rsidRDefault="00552863" w:rsidP="000675CF">
      <w:pPr>
        <w:rPr>
          <w:b/>
          <w:sz w:val="28"/>
          <w:szCs w:val="28"/>
        </w:rPr>
      </w:pPr>
    </w:p>
    <w:p w:rsidR="00552863" w:rsidRDefault="00552863" w:rsidP="000675CF">
      <w:pPr>
        <w:rPr>
          <w:b/>
          <w:sz w:val="28"/>
          <w:szCs w:val="28"/>
        </w:rPr>
      </w:pPr>
    </w:p>
    <w:p w:rsidR="001553CB" w:rsidRPr="001553CB" w:rsidRDefault="001553CB" w:rsidP="000675CF">
      <w:pPr>
        <w:rPr>
          <w:b/>
          <w:sz w:val="28"/>
          <w:szCs w:val="28"/>
        </w:rPr>
      </w:pPr>
      <w:r w:rsidRPr="001553CB">
        <w:rPr>
          <w:b/>
          <w:sz w:val="28"/>
          <w:szCs w:val="28"/>
        </w:rPr>
        <w:lastRenderedPageBreak/>
        <w:t>Conclusions from the evidence</w:t>
      </w:r>
    </w:p>
    <w:p w:rsidR="000675CF" w:rsidRDefault="00147BEE" w:rsidP="00147BEE">
      <w:pPr>
        <w:ind w:left="340" w:hanging="340"/>
      </w:pPr>
      <w:r>
        <w:t xml:space="preserve">3.11 </w:t>
      </w:r>
      <w:r w:rsidR="009B281E">
        <w:t>Table 2-2 below</w:t>
      </w:r>
      <w:r w:rsidR="000675CF">
        <w:t xml:space="preserve"> sets out the 2007 parking standards</w:t>
      </w:r>
      <w:r w:rsidR="00F81C39">
        <w:t xml:space="preserve"> (based on the low accessibility figures- see below)</w:t>
      </w:r>
      <w:r w:rsidR="000675CF">
        <w:t xml:space="preserve">, and the parking standards set out in the draft SPD.  Alongside this information is an explanation how and why the parking standards have been proposed as set out in the </w:t>
      </w:r>
      <w:proofErr w:type="gramStart"/>
      <w:r w:rsidR="000675CF">
        <w:t>SPD.</w:t>
      </w:r>
      <w:proofErr w:type="gramEnd"/>
    </w:p>
    <w:p w:rsidR="00F81C39" w:rsidRDefault="00147BEE" w:rsidP="00147BEE">
      <w:pPr>
        <w:ind w:left="340" w:hanging="340"/>
      </w:pPr>
      <w:r>
        <w:t xml:space="preserve">3.12 </w:t>
      </w:r>
      <w:r w:rsidR="00F81C39">
        <w:t xml:space="preserve">The standard for ‘low accessibility zones’ has been </w:t>
      </w:r>
      <w:r w:rsidR="009B281E">
        <w:t>used for comparison in</w:t>
      </w:r>
      <w:r w:rsidR="00F81C39">
        <w:t xml:space="preserve"> table</w:t>
      </w:r>
      <w:r w:rsidR="009B281E">
        <w:t xml:space="preserve"> 2-2</w:t>
      </w:r>
      <w:r w:rsidR="00F81C39">
        <w:t>.  This reflects the proposal not to distinguish between ‘low accessibility’ and ‘high accessibility zones’</w:t>
      </w:r>
      <w:r w:rsidR="000D7949">
        <w:t xml:space="preserve"> in the draft SPD.  Instead, the SPD sets out that a flexible approach to parking will usually be acceptable within the town centres of Leamington Spa, Warwick and Kenilworth within the town centres as defined in th</w:t>
      </w:r>
      <w:r w:rsidR="00653586">
        <w:t>e Local Plan.  This primarily results from the rationale that a significant proportion of non-residential developments within</w:t>
      </w:r>
      <w:r w:rsidR="000D7949">
        <w:t xml:space="preserve"> the des</w:t>
      </w:r>
      <w:r w:rsidR="00653586">
        <w:t>ignated town centres</w:t>
      </w:r>
      <w:r w:rsidR="000D7949">
        <w:t xml:space="preserve"> are unlikely to</w:t>
      </w:r>
      <w:r w:rsidR="00653586">
        <w:t xml:space="preserve"> be changes of use and alterations to existing buildings rather than significant new build, and thus would be unable to</w:t>
      </w:r>
      <w:r w:rsidR="000D7949">
        <w:t xml:space="preserve"> provide s</w:t>
      </w:r>
      <w:r w:rsidR="00653586">
        <w:t>tand-alone parking.</w:t>
      </w:r>
      <w:r w:rsidR="000D7949">
        <w:t xml:space="preserve"> </w:t>
      </w:r>
      <w:r w:rsidR="00653586">
        <w:t>Instead these developments would often expect to utilise existing town centre parking.  Furthermore, a more flexible approach is likely to be appropriate due to the relative accessibility of the town centres by other modes.</w:t>
      </w:r>
    </w:p>
    <w:p w:rsidR="00EC5C2A" w:rsidRPr="009B281E" w:rsidRDefault="009B281E" w:rsidP="000675CF">
      <w:pPr>
        <w:rPr>
          <w:b/>
        </w:rPr>
      </w:pPr>
      <w:r w:rsidRPr="009B281E">
        <w:rPr>
          <w:b/>
        </w:rPr>
        <w:t>Table 2-2 Justification for proposed parking standards</w:t>
      </w:r>
    </w:p>
    <w:tbl>
      <w:tblPr>
        <w:tblStyle w:val="TableGrid"/>
        <w:tblW w:w="0" w:type="auto"/>
        <w:tblLook w:val="04A0" w:firstRow="1" w:lastRow="0" w:firstColumn="1" w:lastColumn="0" w:noHBand="0" w:noVBand="1"/>
      </w:tblPr>
      <w:tblGrid>
        <w:gridCol w:w="1229"/>
        <w:gridCol w:w="1570"/>
        <w:gridCol w:w="2111"/>
        <w:gridCol w:w="2111"/>
        <w:gridCol w:w="7153"/>
      </w:tblGrid>
      <w:tr w:rsidR="00EC5C2A" w:rsidTr="00B713F5">
        <w:tc>
          <w:tcPr>
            <w:tcW w:w="1242" w:type="dxa"/>
            <w:shd w:val="clear" w:color="auto" w:fill="CCC0D9" w:themeFill="accent4" w:themeFillTint="66"/>
          </w:tcPr>
          <w:p w:rsidR="00EC5C2A" w:rsidRDefault="00EC5C2A" w:rsidP="00B713F5">
            <w:pPr>
              <w:jc w:val="center"/>
            </w:pPr>
            <w:r>
              <w:t>Use class</w:t>
            </w:r>
          </w:p>
        </w:tc>
        <w:tc>
          <w:tcPr>
            <w:tcW w:w="1418" w:type="dxa"/>
            <w:shd w:val="clear" w:color="auto" w:fill="CCC0D9" w:themeFill="accent4" w:themeFillTint="66"/>
          </w:tcPr>
          <w:p w:rsidR="00EC5C2A" w:rsidRDefault="00EC5C2A" w:rsidP="00B713F5">
            <w:pPr>
              <w:jc w:val="center"/>
            </w:pPr>
            <w:r>
              <w:t>Land use</w:t>
            </w:r>
          </w:p>
        </w:tc>
        <w:tc>
          <w:tcPr>
            <w:tcW w:w="2126" w:type="dxa"/>
            <w:shd w:val="clear" w:color="auto" w:fill="CCC0D9" w:themeFill="accent4" w:themeFillTint="66"/>
          </w:tcPr>
          <w:p w:rsidR="00EC5C2A" w:rsidRDefault="00EC5C2A" w:rsidP="00B713F5">
            <w:pPr>
              <w:jc w:val="center"/>
            </w:pPr>
            <w:r>
              <w:t>2007 Maximum Parking Standard</w:t>
            </w:r>
          </w:p>
        </w:tc>
        <w:tc>
          <w:tcPr>
            <w:tcW w:w="2126" w:type="dxa"/>
            <w:shd w:val="clear" w:color="auto" w:fill="CCC0D9" w:themeFill="accent4" w:themeFillTint="66"/>
          </w:tcPr>
          <w:p w:rsidR="00EC5C2A" w:rsidRDefault="00B713F5" w:rsidP="00B713F5">
            <w:pPr>
              <w:jc w:val="center"/>
            </w:pPr>
            <w:r>
              <w:t>Proposed parking standard</w:t>
            </w:r>
          </w:p>
        </w:tc>
        <w:tc>
          <w:tcPr>
            <w:tcW w:w="7262" w:type="dxa"/>
            <w:shd w:val="clear" w:color="auto" w:fill="CCC0D9" w:themeFill="accent4" w:themeFillTint="66"/>
          </w:tcPr>
          <w:p w:rsidR="00EC5C2A" w:rsidRDefault="00B713F5" w:rsidP="00B713F5">
            <w:pPr>
              <w:jc w:val="center"/>
            </w:pPr>
            <w:r>
              <w:t>Justification</w:t>
            </w:r>
          </w:p>
        </w:tc>
      </w:tr>
      <w:tr w:rsidR="00B713F5" w:rsidTr="00EC5C2A">
        <w:tc>
          <w:tcPr>
            <w:tcW w:w="1242" w:type="dxa"/>
            <w:vMerge w:val="restart"/>
          </w:tcPr>
          <w:p w:rsidR="00B713F5" w:rsidRDefault="00B713F5" w:rsidP="000675CF">
            <w:r>
              <w:t>A1</w:t>
            </w:r>
          </w:p>
        </w:tc>
        <w:tc>
          <w:tcPr>
            <w:tcW w:w="1418" w:type="dxa"/>
          </w:tcPr>
          <w:p w:rsidR="00B713F5" w:rsidRDefault="00B713F5" w:rsidP="000675CF">
            <w:r>
              <w:t>Non – food retail</w:t>
            </w:r>
          </w:p>
        </w:tc>
        <w:tc>
          <w:tcPr>
            <w:tcW w:w="2126" w:type="dxa"/>
          </w:tcPr>
          <w:p w:rsidR="00B713F5" w:rsidRDefault="00390073" w:rsidP="000675CF">
            <w:r>
              <w:t>1 space /14</w:t>
            </w:r>
            <w:r w:rsidR="00B713F5">
              <w:t>sq</w:t>
            </w:r>
            <w:r w:rsidR="00777EBE">
              <w:t>.</w:t>
            </w:r>
            <w:r w:rsidR="00B713F5">
              <w:t>m</w:t>
            </w:r>
          </w:p>
        </w:tc>
        <w:tc>
          <w:tcPr>
            <w:tcW w:w="2126" w:type="dxa"/>
          </w:tcPr>
          <w:p w:rsidR="00B713F5" w:rsidRDefault="001F6FC4" w:rsidP="000675CF">
            <w:r>
              <w:t>1 space/14sq.m</w:t>
            </w:r>
          </w:p>
        </w:tc>
        <w:tc>
          <w:tcPr>
            <w:tcW w:w="7262" w:type="dxa"/>
          </w:tcPr>
          <w:p w:rsidR="00B713F5" w:rsidRDefault="001759FF" w:rsidP="00F87120">
            <w:pPr>
              <w:pStyle w:val="ListParagraph"/>
              <w:numPr>
                <w:ilvl w:val="0"/>
                <w:numId w:val="17"/>
              </w:numPr>
            </w:pPr>
            <w:r>
              <w:t xml:space="preserve">The benchmarking exercise shows some relatively significant differences in parking standards for this use class with WDC’s existing standard being the highest.  </w:t>
            </w:r>
          </w:p>
        </w:tc>
      </w:tr>
      <w:tr w:rsidR="00B713F5" w:rsidTr="00EC5C2A">
        <w:tc>
          <w:tcPr>
            <w:tcW w:w="1242" w:type="dxa"/>
            <w:vMerge/>
          </w:tcPr>
          <w:p w:rsidR="00B713F5" w:rsidRDefault="00B713F5" w:rsidP="000675CF"/>
        </w:tc>
        <w:tc>
          <w:tcPr>
            <w:tcW w:w="1418" w:type="dxa"/>
          </w:tcPr>
          <w:p w:rsidR="00B713F5" w:rsidRDefault="00B713F5" w:rsidP="000675CF">
            <w:r>
              <w:t>Food retail</w:t>
            </w:r>
          </w:p>
        </w:tc>
        <w:tc>
          <w:tcPr>
            <w:tcW w:w="2126" w:type="dxa"/>
          </w:tcPr>
          <w:p w:rsidR="00B713F5" w:rsidRDefault="00B713F5" w:rsidP="000675CF">
            <w:r>
              <w:t>1 space / 14sq</w:t>
            </w:r>
            <w:r w:rsidR="00777EBE">
              <w:t xml:space="preserve">. </w:t>
            </w:r>
            <w:r>
              <w:t>m</w:t>
            </w:r>
          </w:p>
        </w:tc>
        <w:tc>
          <w:tcPr>
            <w:tcW w:w="2126" w:type="dxa"/>
          </w:tcPr>
          <w:p w:rsidR="00B713F5" w:rsidRDefault="001759FF" w:rsidP="000675CF">
            <w:r>
              <w:t>1 space / 14sq.m</w:t>
            </w:r>
          </w:p>
        </w:tc>
        <w:tc>
          <w:tcPr>
            <w:tcW w:w="7262" w:type="dxa"/>
          </w:tcPr>
          <w:p w:rsidR="00B713F5" w:rsidRDefault="001759FF" w:rsidP="001759FF">
            <w:pPr>
              <w:pStyle w:val="ListParagraph"/>
              <w:numPr>
                <w:ilvl w:val="0"/>
                <w:numId w:val="16"/>
              </w:numPr>
            </w:pPr>
            <w:r>
              <w:t xml:space="preserve">The benchmarking exercise shows some variation in standards for this use class, with </w:t>
            </w:r>
            <w:proofErr w:type="gramStart"/>
            <w:r>
              <w:t>WDC’s existing</w:t>
            </w:r>
            <w:proofErr w:type="gramEnd"/>
            <w:r>
              <w:t xml:space="preserve"> standard being the highest.  With the exception of Northamptonshire however, the variation is not considered significant.</w:t>
            </w:r>
          </w:p>
        </w:tc>
      </w:tr>
      <w:tr w:rsidR="00EC5C2A" w:rsidTr="00EC5C2A">
        <w:tc>
          <w:tcPr>
            <w:tcW w:w="1242" w:type="dxa"/>
          </w:tcPr>
          <w:p w:rsidR="00EC5C2A" w:rsidRDefault="00B713F5" w:rsidP="000675CF">
            <w:r>
              <w:t>A2</w:t>
            </w:r>
          </w:p>
        </w:tc>
        <w:tc>
          <w:tcPr>
            <w:tcW w:w="1418" w:type="dxa"/>
          </w:tcPr>
          <w:p w:rsidR="00EC5C2A" w:rsidRDefault="00B713F5" w:rsidP="000675CF">
            <w:r>
              <w:t>Financial and business services</w:t>
            </w:r>
          </w:p>
        </w:tc>
        <w:tc>
          <w:tcPr>
            <w:tcW w:w="2126" w:type="dxa"/>
          </w:tcPr>
          <w:p w:rsidR="00EC5C2A" w:rsidRDefault="00777EBE" w:rsidP="000675CF">
            <w:r>
              <w:t xml:space="preserve">1 space / 25sq.m </w:t>
            </w:r>
          </w:p>
        </w:tc>
        <w:tc>
          <w:tcPr>
            <w:tcW w:w="2126" w:type="dxa"/>
          </w:tcPr>
          <w:p w:rsidR="00EC5C2A" w:rsidRDefault="00A305D8" w:rsidP="000675CF">
            <w:r>
              <w:t>1 space/ 25sq.m</w:t>
            </w:r>
          </w:p>
        </w:tc>
        <w:tc>
          <w:tcPr>
            <w:tcW w:w="7262" w:type="dxa"/>
          </w:tcPr>
          <w:p w:rsidR="00EC5C2A" w:rsidRDefault="00A305D8" w:rsidP="00A305D8">
            <w:pPr>
              <w:pStyle w:val="ListParagraph"/>
              <w:numPr>
                <w:ilvl w:val="0"/>
                <w:numId w:val="16"/>
              </w:numPr>
            </w:pPr>
            <w:r>
              <w:t>The benchmarking exercise highlights some variation in standards for this use class, with Stratford’s (draft) standard being higher, and Rugby’s lower, and Northamptonshire’s being similar to the 2007 WDC standard.</w:t>
            </w:r>
          </w:p>
        </w:tc>
      </w:tr>
      <w:tr w:rsidR="00EC5C2A" w:rsidTr="00EC5C2A">
        <w:tc>
          <w:tcPr>
            <w:tcW w:w="1242" w:type="dxa"/>
          </w:tcPr>
          <w:p w:rsidR="00EC5C2A" w:rsidRDefault="00B713F5" w:rsidP="000675CF">
            <w:r>
              <w:t>A3</w:t>
            </w:r>
          </w:p>
        </w:tc>
        <w:tc>
          <w:tcPr>
            <w:tcW w:w="1418" w:type="dxa"/>
          </w:tcPr>
          <w:p w:rsidR="00EC5C2A" w:rsidRDefault="00B713F5" w:rsidP="000675CF">
            <w:r>
              <w:t>Restaurants and cafes</w:t>
            </w:r>
          </w:p>
        </w:tc>
        <w:tc>
          <w:tcPr>
            <w:tcW w:w="2126" w:type="dxa"/>
          </w:tcPr>
          <w:p w:rsidR="00EC5C2A" w:rsidRDefault="00777EBE" w:rsidP="000675CF">
            <w:r>
              <w:t>1 space/20sq.m</w:t>
            </w:r>
          </w:p>
        </w:tc>
        <w:tc>
          <w:tcPr>
            <w:tcW w:w="2126" w:type="dxa"/>
          </w:tcPr>
          <w:p w:rsidR="00EC5C2A" w:rsidRDefault="003F4330" w:rsidP="000675CF">
            <w:r>
              <w:t>1 space/20sq.m</w:t>
            </w:r>
          </w:p>
        </w:tc>
        <w:tc>
          <w:tcPr>
            <w:tcW w:w="7262" w:type="dxa"/>
          </w:tcPr>
          <w:p w:rsidR="00EC5C2A" w:rsidRDefault="00A305D8" w:rsidP="00A305D8">
            <w:pPr>
              <w:pStyle w:val="ListParagraph"/>
              <w:numPr>
                <w:ilvl w:val="0"/>
                <w:numId w:val="16"/>
              </w:numPr>
            </w:pPr>
            <w:r>
              <w:t>The benchmarking exercise shows significant variation in parking standards for this use class, with WDC’s 2007 standard being significantly lower than any of the surrounding local authority areas.</w:t>
            </w:r>
          </w:p>
          <w:p w:rsidR="00A305D8" w:rsidRDefault="00A305D8" w:rsidP="003F2179"/>
        </w:tc>
      </w:tr>
      <w:tr w:rsidR="00EC5C2A" w:rsidTr="00EC5C2A">
        <w:tc>
          <w:tcPr>
            <w:tcW w:w="1242" w:type="dxa"/>
          </w:tcPr>
          <w:p w:rsidR="00EC5C2A" w:rsidRDefault="00B713F5" w:rsidP="000675CF">
            <w:r>
              <w:lastRenderedPageBreak/>
              <w:t>A4</w:t>
            </w:r>
          </w:p>
        </w:tc>
        <w:tc>
          <w:tcPr>
            <w:tcW w:w="1418" w:type="dxa"/>
          </w:tcPr>
          <w:p w:rsidR="00EC5C2A" w:rsidRDefault="00B713F5" w:rsidP="000675CF">
            <w:r>
              <w:t>Drinking establishments</w:t>
            </w:r>
          </w:p>
        </w:tc>
        <w:tc>
          <w:tcPr>
            <w:tcW w:w="2126" w:type="dxa"/>
          </w:tcPr>
          <w:p w:rsidR="00EC5C2A" w:rsidRDefault="00777EBE" w:rsidP="000675CF">
            <w:r>
              <w:t>1 space/20sq.m</w:t>
            </w:r>
          </w:p>
        </w:tc>
        <w:tc>
          <w:tcPr>
            <w:tcW w:w="2126" w:type="dxa"/>
          </w:tcPr>
          <w:p w:rsidR="00EC5C2A" w:rsidRDefault="003F4330" w:rsidP="000675CF">
            <w:r>
              <w:t>1 space /20sq.m</w:t>
            </w:r>
          </w:p>
        </w:tc>
        <w:tc>
          <w:tcPr>
            <w:tcW w:w="7262" w:type="dxa"/>
          </w:tcPr>
          <w:p w:rsidR="00A305D8" w:rsidRDefault="00A305D8" w:rsidP="00A305D8">
            <w:pPr>
              <w:pStyle w:val="ListParagraph"/>
              <w:numPr>
                <w:ilvl w:val="0"/>
                <w:numId w:val="16"/>
              </w:numPr>
            </w:pPr>
            <w:r>
              <w:t>The benchmarking exercise shows significant variation in parking standards for this use class, with WDC’s 2007 standard being significantly lower than any of the surrounding local authority areas.</w:t>
            </w:r>
          </w:p>
          <w:p w:rsidR="00EC5C2A" w:rsidRDefault="00EC5C2A" w:rsidP="000675CF"/>
        </w:tc>
      </w:tr>
      <w:tr w:rsidR="00B713F5" w:rsidTr="00EC5C2A">
        <w:tc>
          <w:tcPr>
            <w:tcW w:w="1242" w:type="dxa"/>
          </w:tcPr>
          <w:p w:rsidR="00B713F5" w:rsidRDefault="00B713F5" w:rsidP="000675CF">
            <w:r>
              <w:t>A5</w:t>
            </w:r>
          </w:p>
        </w:tc>
        <w:tc>
          <w:tcPr>
            <w:tcW w:w="1418" w:type="dxa"/>
          </w:tcPr>
          <w:p w:rsidR="00B713F5" w:rsidRDefault="00B713F5" w:rsidP="000675CF">
            <w:r>
              <w:t>Hot Food Takeaway</w:t>
            </w:r>
          </w:p>
        </w:tc>
        <w:tc>
          <w:tcPr>
            <w:tcW w:w="2126" w:type="dxa"/>
          </w:tcPr>
          <w:p w:rsidR="00B713F5" w:rsidRDefault="00777EBE" w:rsidP="000675CF">
            <w:r>
              <w:t>1 space/20sq.m</w:t>
            </w:r>
          </w:p>
        </w:tc>
        <w:tc>
          <w:tcPr>
            <w:tcW w:w="2126" w:type="dxa"/>
          </w:tcPr>
          <w:p w:rsidR="00B713F5" w:rsidRDefault="00207F41" w:rsidP="000675CF">
            <w:r>
              <w:t>1 space / 20sq.m</w:t>
            </w:r>
          </w:p>
        </w:tc>
        <w:tc>
          <w:tcPr>
            <w:tcW w:w="7262" w:type="dxa"/>
          </w:tcPr>
          <w:p w:rsidR="00B713F5" w:rsidRDefault="00207F41" w:rsidP="00A305D8">
            <w:pPr>
              <w:pStyle w:val="ListParagraph"/>
              <w:numPr>
                <w:ilvl w:val="0"/>
                <w:numId w:val="16"/>
              </w:numPr>
            </w:pPr>
            <w:r>
              <w:t>There is also some significant variation within standards for this use class.  However, Northamptonshire’s standard is similar to the existing WDC standard.</w:t>
            </w:r>
          </w:p>
        </w:tc>
      </w:tr>
    </w:tbl>
    <w:p w:rsidR="00EC5C2A" w:rsidRDefault="00EC5C2A" w:rsidP="000675CF"/>
    <w:p w:rsidR="000675CF" w:rsidRDefault="000675CF" w:rsidP="000675CF"/>
    <w:tbl>
      <w:tblPr>
        <w:tblStyle w:val="TableGrid"/>
        <w:tblW w:w="0" w:type="auto"/>
        <w:tblLook w:val="04A0" w:firstRow="1" w:lastRow="0" w:firstColumn="1" w:lastColumn="0" w:noHBand="0" w:noVBand="1"/>
      </w:tblPr>
      <w:tblGrid>
        <w:gridCol w:w="1228"/>
        <w:gridCol w:w="1407"/>
        <w:gridCol w:w="2112"/>
        <w:gridCol w:w="2113"/>
        <w:gridCol w:w="7314"/>
      </w:tblGrid>
      <w:tr w:rsidR="00D25E3B" w:rsidTr="003F2179">
        <w:trPr>
          <w:tblHeader/>
        </w:trPr>
        <w:tc>
          <w:tcPr>
            <w:tcW w:w="1228" w:type="dxa"/>
            <w:shd w:val="clear" w:color="auto" w:fill="CCC0D9" w:themeFill="accent4" w:themeFillTint="66"/>
          </w:tcPr>
          <w:p w:rsidR="00D25E3B" w:rsidRDefault="00D25E3B" w:rsidP="00610DC1">
            <w:pPr>
              <w:jc w:val="center"/>
            </w:pPr>
            <w:r>
              <w:t>Use class</w:t>
            </w:r>
          </w:p>
        </w:tc>
        <w:tc>
          <w:tcPr>
            <w:tcW w:w="1407" w:type="dxa"/>
            <w:shd w:val="clear" w:color="auto" w:fill="CCC0D9" w:themeFill="accent4" w:themeFillTint="66"/>
          </w:tcPr>
          <w:p w:rsidR="00D25E3B" w:rsidRDefault="00D25E3B" w:rsidP="00610DC1">
            <w:pPr>
              <w:jc w:val="center"/>
            </w:pPr>
            <w:r>
              <w:t>Land use</w:t>
            </w:r>
          </w:p>
        </w:tc>
        <w:tc>
          <w:tcPr>
            <w:tcW w:w="2112" w:type="dxa"/>
            <w:shd w:val="clear" w:color="auto" w:fill="CCC0D9" w:themeFill="accent4" w:themeFillTint="66"/>
          </w:tcPr>
          <w:p w:rsidR="00D25E3B" w:rsidRDefault="00D25E3B" w:rsidP="00610DC1">
            <w:pPr>
              <w:jc w:val="center"/>
            </w:pPr>
            <w:r>
              <w:t>2007 Maximum Parking Standard</w:t>
            </w:r>
          </w:p>
        </w:tc>
        <w:tc>
          <w:tcPr>
            <w:tcW w:w="2113" w:type="dxa"/>
            <w:shd w:val="clear" w:color="auto" w:fill="CCC0D9" w:themeFill="accent4" w:themeFillTint="66"/>
          </w:tcPr>
          <w:p w:rsidR="00D25E3B" w:rsidRDefault="00D25E3B" w:rsidP="00610DC1">
            <w:pPr>
              <w:jc w:val="center"/>
            </w:pPr>
            <w:r>
              <w:t>Proposed parking standard</w:t>
            </w:r>
          </w:p>
        </w:tc>
        <w:tc>
          <w:tcPr>
            <w:tcW w:w="7314" w:type="dxa"/>
            <w:shd w:val="clear" w:color="auto" w:fill="CCC0D9" w:themeFill="accent4" w:themeFillTint="66"/>
          </w:tcPr>
          <w:p w:rsidR="00D25E3B" w:rsidRDefault="00D25E3B" w:rsidP="00610DC1">
            <w:pPr>
              <w:jc w:val="center"/>
            </w:pPr>
            <w:r>
              <w:t>Justification</w:t>
            </w:r>
          </w:p>
        </w:tc>
      </w:tr>
      <w:tr w:rsidR="00D25E3B" w:rsidTr="003F2179">
        <w:tc>
          <w:tcPr>
            <w:tcW w:w="1228" w:type="dxa"/>
          </w:tcPr>
          <w:p w:rsidR="00D25E3B" w:rsidRDefault="00D25E3B" w:rsidP="000675CF">
            <w:r>
              <w:t>B1 (a)</w:t>
            </w:r>
          </w:p>
        </w:tc>
        <w:tc>
          <w:tcPr>
            <w:tcW w:w="1407" w:type="dxa"/>
          </w:tcPr>
          <w:p w:rsidR="00D25E3B" w:rsidRDefault="00D25E3B" w:rsidP="000675CF">
            <w:r>
              <w:t>Offices</w:t>
            </w:r>
          </w:p>
        </w:tc>
        <w:tc>
          <w:tcPr>
            <w:tcW w:w="2112" w:type="dxa"/>
          </w:tcPr>
          <w:p w:rsidR="00D25E3B" w:rsidRDefault="00D25E3B" w:rsidP="000675CF">
            <w:r>
              <w:t>1 space/30sq.m</w:t>
            </w:r>
          </w:p>
        </w:tc>
        <w:tc>
          <w:tcPr>
            <w:tcW w:w="2113" w:type="dxa"/>
          </w:tcPr>
          <w:p w:rsidR="00D25E3B" w:rsidRDefault="00D25E3B" w:rsidP="000675CF">
            <w:r>
              <w:t>1 space/20sq.m</w:t>
            </w:r>
            <w:r w:rsidR="00DF12B8">
              <w:t xml:space="preserve"> GIA up to 1000sq.m, then 1 space/30sq.m additional floor</w:t>
            </w:r>
            <w:r w:rsidR="00610DC1">
              <w:t xml:space="preserve"> </w:t>
            </w:r>
            <w:r w:rsidR="00DF12B8">
              <w:t>space.</w:t>
            </w:r>
          </w:p>
        </w:tc>
        <w:tc>
          <w:tcPr>
            <w:tcW w:w="7314" w:type="dxa"/>
          </w:tcPr>
          <w:p w:rsidR="00D25E3B" w:rsidRDefault="00D25E3B" w:rsidP="00D25E3B">
            <w:pPr>
              <w:pStyle w:val="ListParagraph"/>
              <w:numPr>
                <w:ilvl w:val="0"/>
                <w:numId w:val="8"/>
              </w:numPr>
            </w:pPr>
            <w:r>
              <w:t>Benchmarking shows relative consistency in parking standards for this land use (albeit that there is variation in whether the standard represents maxima/minima/approximate standard).  Stratford District Council has however proposed a higher parking standard for this land use.</w:t>
            </w:r>
          </w:p>
          <w:p w:rsidR="00D25E3B" w:rsidRDefault="00D25E3B" w:rsidP="00D25E3B">
            <w:pPr>
              <w:pStyle w:val="ListParagraph"/>
              <w:numPr>
                <w:ilvl w:val="0"/>
                <w:numId w:val="8"/>
              </w:numPr>
            </w:pPr>
            <w:r>
              <w:t>The Coventry and Warwickshire Strategic Employment Study (2014), suggests that as a rule of thumb, approximately 1 ‘full time equivalent’ (FTE) job exists for every 12sq.m of the Gross Internal Floor</w:t>
            </w:r>
            <w:r w:rsidR="00B62679">
              <w:t xml:space="preserve"> </w:t>
            </w:r>
            <w:r>
              <w:t xml:space="preserve">space (GIA) in this use-class. </w:t>
            </w:r>
            <w:r w:rsidR="005819B6">
              <w:t xml:space="preserve"> On this basis, the 2007 WDC standard approximately equates to 0.4 parking spaces per FTE job. </w:t>
            </w:r>
            <w:r w:rsidR="00B24BFD">
              <w:t>This is considered to be low when compared with other use classes.</w:t>
            </w:r>
          </w:p>
          <w:p w:rsidR="005819B6" w:rsidRDefault="005819B6" w:rsidP="00D25E3B">
            <w:pPr>
              <w:pStyle w:val="ListParagraph"/>
              <w:numPr>
                <w:ilvl w:val="0"/>
                <w:numId w:val="8"/>
              </w:numPr>
            </w:pPr>
            <w:r>
              <w:t xml:space="preserve">It has been observed by officers on site visits that there regularly seems to be insufficient car parking provision associated with recent B1 (predominantly office) developments, leading to unintended on street parking in the surrounding area, including residential streets.  For example, photographs of parking not intended in the layout design on Tournament </w:t>
            </w:r>
            <w:r w:rsidR="003F2179">
              <w:t>fields are included in the observational evidenc</w:t>
            </w:r>
            <w:r w:rsidR="003F2179" w:rsidRPr="003F2179">
              <w:t>e</w:t>
            </w:r>
            <w:r w:rsidR="003C6935" w:rsidRPr="003F2179">
              <w:t>.</w:t>
            </w:r>
            <w:r>
              <w:t xml:space="preserve">  This is despite the respective elements of the larger site regularly delivering the 2007 maximum parking standard</w:t>
            </w:r>
            <w:r w:rsidR="00DF12B8">
              <w:t>.</w:t>
            </w:r>
          </w:p>
          <w:p w:rsidR="005819B6" w:rsidRDefault="005819B6" w:rsidP="00D25E3B">
            <w:pPr>
              <w:pStyle w:val="ListParagraph"/>
              <w:numPr>
                <w:ilvl w:val="0"/>
                <w:numId w:val="8"/>
              </w:numPr>
            </w:pPr>
            <w:r>
              <w:t xml:space="preserve">The second and third points above both point to a need to increase the </w:t>
            </w:r>
            <w:r>
              <w:lastRenderedPageBreak/>
              <w:t>amount of parking provided for B1</w:t>
            </w:r>
            <w:r w:rsidR="00DF12B8">
              <w:t xml:space="preserve"> (a) developments.</w:t>
            </w:r>
            <w:r w:rsidR="00E24857">
              <w:t xml:space="preserve">  The proposed standard would approximately create 0.6 spaces per FTE (an uplift of 50% on the 2007 standard).</w:t>
            </w:r>
          </w:p>
        </w:tc>
      </w:tr>
      <w:tr w:rsidR="00D25E3B" w:rsidTr="003F2179">
        <w:tc>
          <w:tcPr>
            <w:tcW w:w="1228" w:type="dxa"/>
          </w:tcPr>
          <w:p w:rsidR="00D25E3B" w:rsidRDefault="00D25E3B" w:rsidP="000675CF">
            <w:r>
              <w:lastRenderedPageBreak/>
              <w:t>B1 (b)</w:t>
            </w:r>
          </w:p>
        </w:tc>
        <w:tc>
          <w:tcPr>
            <w:tcW w:w="1407" w:type="dxa"/>
          </w:tcPr>
          <w:p w:rsidR="00D25E3B" w:rsidRDefault="00D25E3B" w:rsidP="000675CF">
            <w:r>
              <w:t>Research and development</w:t>
            </w:r>
          </w:p>
        </w:tc>
        <w:tc>
          <w:tcPr>
            <w:tcW w:w="2112" w:type="dxa"/>
          </w:tcPr>
          <w:p w:rsidR="00D25E3B" w:rsidRDefault="00E24857" w:rsidP="000675CF">
            <w:r>
              <w:t>1 space/ 40sq.m</w:t>
            </w:r>
          </w:p>
        </w:tc>
        <w:tc>
          <w:tcPr>
            <w:tcW w:w="2113" w:type="dxa"/>
          </w:tcPr>
          <w:p w:rsidR="00D25E3B" w:rsidRDefault="00B24BFD" w:rsidP="000675CF">
            <w:r>
              <w:t>1 space/20sq.m GIA up to 1000sq.m, then 1 space/30sq.m additional floor space.</w:t>
            </w:r>
          </w:p>
        </w:tc>
        <w:tc>
          <w:tcPr>
            <w:tcW w:w="7314" w:type="dxa"/>
          </w:tcPr>
          <w:p w:rsidR="00D25E3B" w:rsidRDefault="00010C5C" w:rsidP="00B24BFD">
            <w:pPr>
              <w:pStyle w:val="ListParagraph"/>
              <w:numPr>
                <w:ilvl w:val="0"/>
                <w:numId w:val="19"/>
              </w:numPr>
            </w:pPr>
            <w:r>
              <w:t>Benchmarking shows that standards in respect of this use class are either stated as 1/40sqm or 1/30sqm.  WDC’s 2007 standard is therefore at the lower end of the standards considered in the study, and suggests scope to increase this.</w:t>
            </w:r>
          </w:p>
          <w:p w:rsidR="00010C5C" w:rsidRDefault="00010C5C" w:rsidP="00B24BFD">
            <w:pPr>
              <w:pStyle w:val="ListParagraph"/>
              <w:numPr>
                <w:ilvl w:val="0"/>
                <w:numId w:val="19"/>
              </w:numPr>
            </w:pPr>
            <w:r>
              <w:t>The Coventry and Warwickshire Strategic Employment Study (2014), suggests that as a rule of thumb, approximately 1 ‘full time equivalent’ (FTE) job exists for every 12sq.m of the Gross Internal Floor space (GIA) in this use-class.  On this basis, the 2007 WDC stand</w:t>
            </w:r>
            <w:r w:rsidR="00B24BFD">
              <w:t>ard approximately equates to 0.3</w:t>
            </w:r>
            <w:r>
              <w:t xml:space="preserve"> parking spac</w:t>
            </w:r>
            <w:r w:rsidR="00B24BFD">
              <w:t>es per FTE job.  This is considered low when compared with other use classes.</w:t>
            </w:r>
          </w:p>
          <w:p w:rsidR="00B24BFD" w:rsidRDefault="00B24BFD" w:rsidP="00B24BFD">
            <w:pPr>
              <w:pStyle w:val="ListParagraph"/>
              <w:numPr>
                <w:ilvl w:val="0"/>
                <w:numId w:val="19"/>
              </w:numPr>
            </w:pPr>
            <w:r>
              <w:t xml:space="preserve">It has been observed by officers on site visits that there regularly seems to be insufficient car parking provision associated with recent B1 (predominantly office) developments, leading to unintended on street parking in the surrounding area, including residential streets.  For example, photographs of parking not intended in the layout design on Tournament fields are included </w:t>
            </w:r>
            <w:r w:rsidR="003F2179">
              <w:t>in the observational evidence</w:t>
            </w:r>
            <w:r>
              <w:t>.  This is despite the respective elements of the larger site regularly delivering the 2007 maximum parking standard.</w:t>
            </w:r>
          </w:p>
          <w:p w:rsidR="00B24BFD" w:rsidRDefault="00B24BFD" w:rsidP="00B24BFD">
            <w:pPr>
              <w:pStyle w:val="ListParagraph"/>
              <w:numPr>
                <w:ilvl w:val="0"/>
                <w:numId w:val="19"/>
              </w:numPr>
            </w:pPr>
            <w:r>
              <w:t>The second and third points above both point to a need to increase the amount of parking provided for B1 (b) developments.    Given that as outlined under the second point above, the ratio of FTE jobs to GIA is stated as the same as use class B1(a), the proposed parking standard is the same as that for B1(a).</w:t>
            </w:r>
          </w:p>
        </w:tc>
      </w:tr>
      <w:tr w:rsidR="00D25E3B" w:rsidTr="003F2179">
        <w:tc>
          <w:tcPr>
            <w:tcW w:w="1228" w:type="dxa"/>
          </w:tcPr>
          <w:p w:rsidR="00D25E3B" w:rsidRDefault="00D25E3B" w:rsidP="000675CF">
            <w:r>
              <w:t>B1 (c)</w:t>
            </w:r>
          </w:p>
        </w:tc>
        <w:tc>
          <w:tcPr>
            <w:tcW w:w="1407" w:type="dxa"/>
          </w:tcPr>
          <w:p w:rsidR="00D25E3B" w:rsidRDefault="00D25E3B" w:rsidP="000675CF">
            <w:r>
              <w:t>Light industrial</w:t>
            </w:r>
          </w:p>
        </w:tc>
        <w:tc>
          <w:tcPr>
            <w:tcW w:w="2112" w:type="dxa"/>
          </w:tcPr>
          <w:p w:rsidR="00D25E3B" w:rsidRDefault="00B24BFD" w:rsidP="000675CF">
            <w:r>
              <w:t>1 space / 40sq.m</w:t>
            </w:r>
          </w:p>
        </w:tc>
        <w:tc>
          <w:tcPr>
            <w:tcW w:w="2113" w:type="dxa"/>
          </w:tcPr>
          <w:p w:rsidR="00D25E3B" w:rsidRDefault="003F2179" w:rsidP="000675CF">
            <w:r w:rsidRPr="003F2179">
              <w:t>1</w:t>
            </w:r>
            <w:r>
              <w:t xml:space="preserve"> space</w:t>
            </w:r>
            <w:r w:rsidRPr="003F2179">
              <w:t>/</w:t>
            </w:r>
            <w:r>
              <w:t>40sq.m</w:t>
            </w:r>
          </w:p>
        </w:tc>
        <w:tc>
          <w:tcPr>
            <w:tcW w:w="7314" w:type="dxa"/>
          </w:tcPr>
          <w:p w:rsidR="00D25E3B" w:rsidRDefault="00B24BFD" w:rsidP="00B24BFD">
            <w:pPr>
              <w:pStyle w:val="ListParagraph"/>
              <w:numPr>
                <w:ilvl w:val="0"/>
                <w:numId w:val="20"/>
              </w:numPr>
            </w:pPr>
            <w:r>
              <w:t xml:space="preserve">The benchmarking exercise illustrates some differences in the parking standards for this use class, which are set at either 1 space / 40 </w:t>
            </w:r>
            <w:proofErr w:type="spellStart"/>
            <w:r>
              <w:t>sq.m</w:t>
            </w:r>
            <w:proofErr w:type="spellEnd"/>
            <w:r>
              <w:t xml:space="preserve"> or 1 s</w:t>
            </w:r>
            <w:r w:rsidR="00946220">
              <w:t xml:space="preserve">pace / 30 </w:t>
            </w:r>
            <w:proofErr w:type="spellStart"/>
            <w:r w:rsidR="00946220">
              <w:t>sq.m</w:t>
            </w:r>
            <w:proofErr w:type="spellEnd"/>
            <w:r w:rsidR="00946220">
              <w:t xml:space="preserve"> (the same as</w:t>
            </w:r>
            <w:r>
              <w:t xml:space="preserve"> </w:t>
            </w:r>
            <w:proofErr w:type="gramStart"/>
            <w:r>
              <w:t>B1(</w:t>
            </w:r>
            <w:proofErr w:type="gramEnd"/>
            <w:r>
              <w:t>b) above).</w:t>
            </w:r>
          </w:p>
          <w:p w:rsidR="00B24BFD" w:rsidRDefault="00B24BFD" w:rsidP="00B24BFD">
            <w:pPr>
              <w:pStyle w:val="ListParagraph"/>
              <w:numPr>
                <w:ilvl w:val="0"/>
                <w:numId w:val="20"/>
              </w:numPr>
            </w:pPr>
            <w:r>
              <w:t xml:space="preserve">The Coventry and Warwickshire Strategic Employment Study (2014) suggests that as a ‘rule of thumb’, approximately 1 FTE job exists for </w:t>
            </w:r>
            <w:proofErr w:type="gramStart"/>
            <w:r>
              <w:lastRenderedPageBreak/>
              <w:t>every  47sq.m</w:t>
            </w:r>
            <w:proofErr w:type="gramEnd"/>
            <w:r>
              <w:t xml:space="preserve"> GIA under this use-class.</w:t>
            </w:r>
            <w:r w:rsidR="00946220">
              <w:t xml:space="preserve">  On this basis, the existing parking standard equates to 1.175 spaces per FTE job.  This is considered too high in the context of other standards.</w:t>
            </w:r>
          </w:p>
          <w:p w:rsidR="00946220" w:rsidRDefault="00946220" w:rsidP="00B24BFD">
            <w:pPr>
              <w:pStyle w:val="ListParagraph"/>
              <w:numPr>
                <w:ilvl w:val="0"/>
                <w:numId w:val="20"/>
              </w:numPr>
            </w:pPr>
            <w:r>
              <w:t xml:space="preserve">On the basis of the above, </w:t>
            </w:r>
            <w:r w:rsidR="002E5CF3">
              <w:t xml:space="preserve">this is the only use class where a slight decrease from the existing standard is proposed.  </w:t>
            </w:r>
          </w:p>
        </w:tc>
      </w:tr>
      <w:tr w:rsidR="00D25E3B" w:rsidTr="003F2179">
        <w:tc>
          <w:tcPr>
            <w:tcW w:w="1228" w:type="dxa"/>
          </w:tcPr>
          <w:p w:rsidR="00D25E3B" w:rsidRDefault="0095201F" w:rsidP="000675CF">
            <w:r>
              <w:lastRenderedPageBreak/>
              <w:t>B2</w:t>
            </w:r>
          </w:p>
        </w:tc>
        <w:tc>
          <w:tcPr>
            <w:tcW w:w="1407" w:type="dxa"/>
          </w:tcPr>
          <w:p w:rsidR="00D25E3B" w:rsidRDefault="0095201F" w:rsidP="000675CF">
            <w:r>
              <w:t>Light Industrial</w:t>
            </w:r>
          </w:p>
        </w:tc>
        <w:tc>
          <w:tcPr>
            <w:tcW w:w="2112" w:type="dxa"/>
          </w:tcPr>
          <w:p w:rsidR="00D25E3B" w:rsidRDefault="0095201F" w:rsidP="000675CF">
            <w:r>
              <w:t>1 space/50sq.m GIA</w:t>
            </w:r>
          </w:p>
        </w:tc>
        <w:tc>
          <w:tcPr>
            <w:tcW w:w="2113" w:type="dxa"/>
          </w:tcPr>
          <w:p w:rsidR="00D25E3B" w:rsidRDefault="0029336D" w:rsidP="000675CF">
            <w:r>
              <w:t>1 space/50sq.m GIA</w:t>
            </w:r>
          </w:p>
        </w:tc>
        <w:tc>
          <w:tcPr>
            <w:tcW w:w="7314" w:type="dxa"/>
          </w:tcPr>
          <w:p w:rsidR="00D25E3B" w:rsidRDefault="0095201F" w:rsidP="0095201F">
            <w:pPr>
              <w:pStyle w:val="ListParagraph"/>
              <w:numPr>
                <w:ilvl w:val="0"/>
                <w:numId w:val="9"/>
              </w:numPr>
            </w:pPr>
            <w:r>
              <w:t>Benchmarking shows relative consistency across</w:t>
            </w:r>
            <w:r w:rsidR="00B67196">
              <w:t xml:space="preserve"> three</w:t>
            </w:r>
            <w:r>
              <w:t xml:space="preserve"> Parking Standards</w:t>
            </w:r>
            <w:r w:rsidR="00B67196">
              <w:t>, however North Warwickshire’s draft standard is significantly lower (50% lower) and Stratford’s draft standards are significantly higher.</w:t>
            </w:r>
          </w:p>
          <w:p w:rsidR="00B67196" w:rsidRDefault="00B67196" w:rsidP="0095201F">
            <w:pPr>
              <w:pStyle w:val="ListParagraph"/>
              <w:numPr>
                <w:ilvl w:val="0"/>
                <w:numId w:val="9"/>
              </w:numPr>
            </w:pPr>
            <w:r>
              <w:t>The Coventry and Warwickshire Strategic Employment Study (2014) suggests that as a rule of thumb in this use class 1 FTE job equates to 36sq.m GIA.  On this basis, adopting a 1 space/50sq.m GIA would deliver approximately 0.72 parking spaces per FTE job</w:t>
            </w:r>
            <w:r w:rsidR="00916EAB">
              <w:t xml:space="preserve">, which is considered reasonable.  </w:t>
            </w:r>
          </w:p>
          <w:p w:rsidR="00916EAB" w:rsidRDefault="0029336D" w:rsidP="0095201F">
            <w:pPr>
              <w:pStyle w:val="ListParagraph"/>
              <w:numPr>
                <w:ilvl w:val="0"/>
                <w:numId w:val="9"/>
              </w:numPr>
            </w:pPr>
            <w:r>
              <w:t>There have been no significant observations of insufficient parking associated with B2 development.</w:t>
            </w:r>
          </w:p>
          <w:p w:rsidR="0029336D" w:rsidRDefault="0029336D" w:rsidP="0095201F">
            <w:pPr>
              <w:pStyle w:val="ListParagraph"/>
              <w:numPr>
                <w:ilvl w:val="0"/>
                <w:numId w:val="9"/>
              </w:numPr>
            </w:pPr>
            <w:r>
              <w:t>On the basis of all of the above, it is concluded that an approximate parking standard of 1 space/50sq.m GIA should be proposed.</w:t>
            </w:r>
          </w:p>
        </w:tc>
      </w:tr>
      <w:tr w:rsidR="00D25E3B" w:rsidTr="003F2179">
        <w:tc>
          <w:tcPr>
            <w:tcW w:w="1228" w:type="dxa"/>
          </w:tcPr>
          <w:p w:rsidR="00D25E3B" w:rsidRDefault="0029336D" w:rsidP="000675CF">
            <w:r>
              <w:t>B8</w:t>
            </w:r>
          </w:p>
        </w:tc>
        <w:tc>
          <w:tcPr>
            <w:tcW w:w="1407" w:type="dxa"/>
          </w:tcPr>
          <w:p w:rsidR="00D25E3B" w:rsidRDefault="0029336D" w:rsidP="000675CF">
            <w:r>
              <w:t>Storage and Distribution</w:t>
            </w:r>
          </w:p>
        </w:tc>
        <w:tc>
          <w:tcPr>
            <w:tcW w:w="2112" w:type="dxa"/>
          </w:tcPr>
          <w:p w:rsidR="00D25E3B" w:rsidRDefault="0029336D" w:rsidP="000675CF">
            <w:r>
              <w:t>1 space/80sq.m GIA</w:t>
            </w:r>
          </w:p>
        </w:tc>
        <w:tc>
          <w:tcPr>
            <w:tcW w:w="2113" w:type="dxa"/>
          </w:tcPr>
          <w:p w:rsidR="00D25E3B" w:rsidRDefault="00AA5359" w:rsidP="000675CF">
            <w:r>
              <w:t>1 space /80sqm</w:t>
            </w:r>
          </w:p>
        </w:tc>
        <w:tc>
          <w:tcPr>
            <w:tcW w:w="7314" w:type="dxa"/>
          </w:tcPr>
          <w:p w:rsidR="00D25E3B" w:rsidRDefault="0029336D" w:rsidP="0029336D">
            <w:pPr>
              <w:pStyle w:val="ListParagraph"/>
              <w:numPr>
                <w:ilvl w:val="0"/>
                <w:numId w:val="12"/>
              </w:numPr>
            </w:pPr>
            <w:r>
              <w:t>Benchmarking illustrates significant disparity between parking standards for this use class, ranging from 1 space/50sq.m GIA to 1 space/150sq.m</w:t>
            </w:r>
            <w:r w:rsidR="007C5586">
              <w:t xml:space="preserve"> GIA.</w:t>
            </w:r>
          </w:p>
          <w:p w:rsidR="007C5586" w:rsidRDefault="007C5586" w:rsidP="0029336D">
            <w:pPr>
              <w:pStyle w:val="ListParagraph"/>
              <w:numPr>
                <w:ilvl w:val="0"/>
                <w:numId w:val="12"/>
              </w:numPr>
            </w:pPr>
            <w:r>
              <w:t xml:space="preserve">The Coventry and Warwickshire Strategic Employment </w:t>
            </w:r>
            <w:r w:rsidR="00FA7714">
              <w:t>Study (2014) suggests that 1FTE job equates to 70sq.m GIA.  This effectively means that t</w:t>
            </w:r>
            <w:r w:rsidR="00AA5359">
              <w:t>he 2007 standard equates to 0.875</w:t>
            </w:r>
            <w:r w:rsidR="00FA7714">
              <w:t xml:space="preserve"> parking spaces per FTE job.</w:t>
            </w:r>
          </w:p>
          <w:p w:rsidR="00FA7714" w:rsidRDefault="00FA7714" w:rsidP="0029336D">
            <w:pPr>
              <w:pStyle w:val="ListParagraph"/>
              <w:numPr>
                <w:ilvl w:val="0"/>
                <w:numId w:val="12"/>
              </w:numPr>
            </w:pPr>
            <w:r>
              <w:t>There have been no significant observations of insufficient parking associated with existing B8 developments.</w:t>
            </w:r>
          </w:p>
        </w:tc>
      </w:tr>
    </w:tbl>
    <w:p w:rsidR="000675CF" w:rsidRDefault="000675CF" w:rsidP="000675CF"/>
    <w:tbl>
      <w:tblPr>
        <w:tblStyle w:val="TableGrid"/>
        <w:tblW w:w="0" w:type="auto"/>
        <w:tblLook w:val="04A0" w:firstRow="1" w:lastRow="0" w:firstColumn="1" w:lastColumn="0" w:noHBand="0" w:noVBand="1"/>
      </w:tblPr>
      <w:tblGrid>
        <w:gridCol w:w="1242"/>
        <w:gridCol w:w="1418"/>
        <w:gridCol w:w="2126"/>
        <w:gridCol w:w="2126"/>
        <w:gridCol w:w="7262"/>
      </w:tblGrid>
      <w:tr w:rsidR="009A6547" w:rsidTr="009A6547">
        <w:tc>
          <w:tcPr>
            <w:tcW w:w="1242" w:type="dxa"/>
            <w:shd w:val="clear" w:color="auto" w:fill="CCC0D9" w:themeFill="accent4" w:themeFillTint="66"/>
          </w:tcPr>
          <w:p w:rsidR="009A6547" w:rsidRDefault="009A6547" w:rsidP="009A6547">
            <w:pPr>
              <w:jc w:val="center"/>
            </w:pPr>
            <w:r>
              <w:t>Use class</w:t>
            </w:r>
          </w:p>
        </w:tc>
        <w:tc>
          <w:tcPr>
            <w:tcW w:w="1418" w:type="dxa"/>
            <w:shd w:val="clear" w:color="auto" w:fill="CCC0D9" w:themeFill="accent4" w:themeFillTint="66"/>
          </w:tcPr>
          <w:p w:rsidR="009A6547" w:rsidRDefault="009A6547" w:rsidP="009A6547">
            <w:pPr>
              <w:jc w:val="center"/>
            </w:pPr>
            <w:r>
              <w:t>Land use</w:t>
            </w:r>
          </w:p>
        </w:tc>
        <w:tc>
          <w:tcPr>
            <w:tcW w:w="2126" w:type="dxa"/>
            <w:shd w:val="clear" w:color="auto" w:fill="CCC0D9" w:themeFill="accent4" w:themeFillTint="66"/>
          </w:tcPr>
          <w:p w:rsidR="009A6547" w:rsidRDefault="009A6547" w:rsidP="009A6547">
            <w:pPr>
              <w:jc w:val="center"/>
            </w:pPr>
            <w:r>
              <w:t>2007 Maximum Parking standard</w:t>
            </w:r>
          </w:p>
        </w:tc>
        <w:tc>
          <w:tcPr>
            <w:tcW w:w="2126" w:type="dxa"/>
            <w:shd w:val="clear" w:color="auto" w:fill="CCC0D9" w:themeFill="accent4" w:themeFillTint="66"/>
          </w:tcPr>
          <w:p w:rsidR="009A6547" w:rsidRDefault="009A6547" w:rsidP="009A6547">
            <w:pPr>
              <w:jc w:val="center"/>
            </w:pPr>
            <w:r>
              <w:t>Proposed parking standard</w:t>
            </w:r>
          </w:p>
        </w:tc>
        <w:tc>
          <w:tcPr>
            <w:tcW w:w="7262" w:type="dxa"/>
            <w:shd w:val="clear" w:color="auto" w:fill="CCC0D9" w:themeFill="accent4" w:themeFillTint="66"/>
          </w:tcPr>
          <w:p w:rsidR="009A6547" w:rsidRDefault="009A6547" w:rsidP="009A6547">
            <w:pPr>
              <w:jc w:val="center"/>
            </w:pPr>
            <w:r>
              <w:t>Justification</w:t>
            </w:r>
          </w:p>
        </w:tc>
      </w:tr>
      <w:tr w:rsidR="009A6547" w:rsidTr="009A6547">
        <w:tc>
          <w:tcPr>
            <w:tcW w:w="1242" w:type="dxa"/>
          </w:tcPr>
          <w:p w:rsidR="009A6547" w:rsidRDefault="009A6547" w:rsidP="000675CF">
            <w:r>
              <w:t>C1</w:t>
            </w:r>
          </w:p>
        </w:tc>
        <w:tc>
          <w:tcPr>
            <w:tcW w:w="1418" w:type="dxa"/>
          </w:tcPr>
          <w:p w:rsidR="009A6547" w:rsidRDefault="009A6547" w:rsidP="000675CF">
            <w:r>
              <w:t xml:space="preserve">Hotels and </w:t>
            </w:r>
            <w:r>
              <w:lastRenderedPageBreak/>
              <w:t>guest houses</w:t>
            </w:r>
          </w:p>
        </w:tc>
        <w:tc>
          <w:tcPr>
            <w:tcW w:w="2126" w:type="dxa"/>
          </w:tcPr>
          <w:p w:rsidR="009A6547" w:rsidRDefault="009A6547" w:rsidP="000675CF">
            <w:r>
              <w:lastRenderedPageBreak/>
              <w:t>1 space / bedroom</w:t>
            </w:r>
          </w:p>
        </w:tc>
        <w:tc>
          <w:tcPr>
            <w:tcW w:w="2126" w:type="dxa"/>
          </w:tcPr>
          <w:p w:rsidR="009A6547" w:rsidRDefault="009A6547" w:rsidP="000675CF">
            <w:r>
              <w:t>1 space / bedroom</w:t>
            </w:r>
          </w:p>
        </w:tc>
        <w:tc>
          <w:tcPr>
            <w:tcW w:w="7262" w:type="dxa"/>
          </w:tcPr>
          <w:p w:rsidR="009A6547" w:rsidRDefault="009A6547" w:rsidP="009A6547">
            <w:pPr>
              <w:pStyle w:val="ListParagraph"/>
              <w:numPr>
                <w:ilvl w:val="0"/>
                <w:numId w:val="18"/>
              </w:numPr>
            </w:pPr>
            <w:r>
              <w:t xml:space="preserve">The benchmarking exercise demonstrates relative parity across the </w:t>
            </w:r>
            <w:r>
              <w:lastRenderedPageBreak/>
              <w:t>parking standards considered in this use class.</w:t>
            </w:r>
          </w:p>
        </w:tc>
      </w:tr>
      <w:tr w:rsidR="009A6547" w:rsidTr="009A6547">
        <w:tc>
          <w:tcPr>
            <w:tcW w:w="1242" w:type="dxa"/>
          </w:tcPr>
          <w:p w:rsidR="009A6547" w:rsidRDefault="009A6547" w:rsidP="000675CF">
            <w:r>
              <w:lastRenderedPageBreak/>
              <w:t>C2</w:t>
            </w:r>
          </w:p>
        </w:tc>
        <w:tc>
          <w:tcPr>
            <w:tcW w:w="1418" w:type="dxa"/>
          </w:tcPr>
          <w:p w:rsidR="009A6547" w:rsidRDefault="009A6547" w:rsidP="000675CF">
            <w:r>
              <w:t>Residential care home</w:t>
            </w:r>
          </w:p>
        </w:tc>
        <w:tc>
          <w:tcPr>
            <w:tcW w:w="2126" w:type="dxa"/>
          </w:tcPr>
          <w:p w:rsidR="009A6547" w:rsidRDefault="00BB5A02" w:rsidP="000675CF">
            <w:r>
              <w:t>1 space / 3 residents + space for an ambulance</w:t>
            </w:r>
          </w:p>
        </w:tc>
        <w:tc>
          <w:tcPr>
            <w:tcW w:w="2126" w:type="dxa"/>
          </w:tcPr>
          <w:p w:rsidR="009A6547" w:rsidRDefault="00FD532D" w:rsidP="000675CF">
            <w:r>
              <w:t>1 space / 3 residents</w:t>
            </w:r>
          </w:p>
          <w:p w:rsidR="002B0427" w:rsidRDefault="002B0427" w:rsidP="000675CF">
            <w:r>
              <w:t>+ space for an ambulance</w:t>
            </w:r>
          </w:p>
        </w:tc>
        <w:tc>
          <w:tcPr>
            <w:tcW w:w="7262" w:type="dxa"/>
          </w:tcPr>
          <w:p w:rsidR="009A6547" w:rsidRDefault="00B23FA3" w:rsidP="00B23FA3">
            <w:pPr>
              <w:pStyle w:val="ListParagraph"/>
              <w:numPr>
                <w:ilvl w:val="0"/>
                <w:numId w:val="18"/>
              </w:numPr>
            </w:pPr>
            <w:r>
              <w:t xml:space="preserve">The benchmarking exercise illustrates some variation </w:t>
            </w:r>
            <w:r w:rsidR="00FD532D">
              <w:t>in standards for this use class, with some separating staff and visitor parking needs.</w:t>
            </w:r>
          </w:p>
        </w:tc>
      </w:tr>
    </w:tbl>
    <w:p w:rsidR="00B62679" w:rsidRDefault="00B62679" w:rsidP="000675CF"/>
    <w:p w:rsidR="00B62679" w:rsidRDefault="00B62679" w:rsidP="000675CF"/>
    <w:tbl>
      <w:tblPr>
        <w:tblStyle w:val="TableGrid"/>
        <w:tblW w:w="0" w:type="auto"/>
        <w:tblLook w:val="04A0" w:firstRow="1" w:lastRow="0" w:firstColumn="1" w:lastColumn="0" w:noHBand="0" w:noVBand="1"/>
      </w:tblPr>
      <w:tblGrid>
        <w:gridCol w:w="1291"/>
        <w:gridCol w:w="1570"/>
        <w:gridCol w:w="2112"/>
        <w:gridCol w:w="2098"/>
        <w:gridCol w:w="7103"/>
      </w:tblGrid>
      <w:tr w:rsidR="008F7ECC" w:rsidTr="00832B53">
        <w:tc>
          <w:tcPr>
            <w:tcW w:w="1291" w:type="dxa"/>
            <w:shd w:val="clear" w:color="auto" w:fill="CCC0D9" w:themeFill="accent4" w:themeFillTint="66"/>
          </w:tcPr>
          <w:p w:rsidR="00D15E8D" w:rsidRPr="00D15E8D" w:rsidRDefault="00D15E8D" w:rsidP="00D15E8D">
            <w:pPr>
              <w:jc w:val="center"/>
            </w:pPr>
            <w:r w:rsidRPr="00D15E8D">
              <w:t>Use</w:t>
            </w:r>
            <w:r>
              <w:t xml:space="preserve"> class</w:t>
            </w:r>
          </w:p>
        </w:tc>
        <w:tc>
          <w:tcPr>
            <w:tcW w:w="1570" w:type="dxa"/>
            <w:shd w:val="clear" w:color="auto" w:fill="CCC0D9" w:themeFill="accent4" w:themeFillTint="66"/>
          </w:tcPr>
          <w:p w:rsidR="00D15E8D" w:rsidRPr="00D15E8D" w:rsidRDefault="00D15E8D" w:rsidP="00D15E8D">
            <w:pPr>
              <w:jc w:val="center"/>
            </w:pPr>
            <w:r w:rsidRPr="00D15E8D">
              <w:t>Land use</w:t>
            </w:r>
          </w:p>
        </w:tc>
        <w:tc>
          <w:tcPr>
            <w:tcW w:w="2112" w:type="dxa"/>
            <w:shd w:val="clear" w:color="auto" w:fill="CCC0D9" w:themeFill="accent4" w:themeFillTint="66"/>
          </w:tcPr>
          <w:p w:rsidR="00D15E8D" w:rsidRPr="00D15E8D" w:rsidRDefault="00D15E8D" w:rsidP="00B62679">
            <w:pPr>
              <w:jc w:val="center"/>
            </w:pPr>
            <w:r>
              <w:t>2007 Maximum parking standard</w:t>
            </w:r>
          </w:p>
        </w:tc>
        <w:tc>
          <w:tcPr>
            <w:tcW w:w="2098" w:type="dxa"/>
            <w:shd w:val="clear" w:color="auto" w:fill="CCC0D9" w:themeFill="accent4" w:themeFillTint="66"/>
          </w:tcPr>
          <w:p w:rsidR="00D15E8D" w:rsidRPr="00B62679" w:rsidRDefault="00B62679" w:rsidP="00B62679">
            <w:pPr>
              <w:jc w:val="center"/>
            </w:pPr>
            <w:r>
              <w:t>Proposed parking standard</w:t>
            </w:r>
          </w:p>
        </w:tc>
        <w:tc>
          <w:tcPr>
            <w:tcW w:w="7103" w:type="dxa"/>
            <w:shd w:val="clear" w:color="auto" w:fill="CCC0D9" w:themeFill="accent4" w:themeFillTint="66"/>
          </w:tcPr>
          <w:p w:rsidR="00D15E8D" w:rsidRPr="00B62679" w:rsidRDefault="00B62679" w:rsidP="00B62679">
            <w:pPr>
              <w:jc w:val="center"/>
            </w:pPr>
            <w:r w:rsidRPr="00B62679">
              <w:t>Justification</w:t>
            </w:r>
          </w:p>
        </w:tc>
      </w:tr>
      <w:tr w:rsidR="00832B53" w:rsidTr="00832B53">
        <w:tc>
          <w:tcPr>
            <w:tcW w:w="1291" w:type="dxa"/>
            <w:vMerge w:val="restart"/>
          </w:tcPr>
          <w:p w:rsidR="00832B53" w:rsidRPr="00B62679" w:rsidRDefault="00832B53" w:rsidP="00E44865">
            <w:r w:rsidRPr="00B62679">
              <w:t>D1</w:t>
            </w:r>
            <w:r>
              <w:t xml:space="preserve"> (non-residential institutions)</w:t>
            </w:r>
          </w:p>
        </w:tc>
        <w:tc>
          <w:tcPr>
            <w:tcW w:w="1570" w:type="dxa"/>
          </w:tcPr>
          <w:p w:rsidR="00832B53" w:rsidRPr="00B62679" w:rsidRDefault="00832B53" w:rsidP="00E44865">
            <w:r>
              <w:t>Consulting rooms (doctors, dentists, vets)</w:t>
            </w:r>
          </w:p>
        </w:tc>
        <w:tc>
          <w:tcPr>
            <w:tcW w:w="2112" w:type="dxa"/>
          </w:tcPr>
          <w:p w:rsidR="00832B53" w:rsidRPr="00B62679" w:rsidRDefault="00832B53" w:rsidP="00E44865">
            <w:r>
              <w:t>4 spaces / consulting room</w:t>
            </w:r>
          </w:p>
        </w:tc>
        <w:tc>
          <w:tcPr>
            <w:tcW w:w="2098" w:type="dxa"/>
          </w:tcPr>
          <w:p w:rsidR="00832B53" w:rsidRPr="00B62679" w:rsidRDefault="00AA5359" w:rsidP="00E44865">
            <w:r>
              <w:t>4 spaces / consulting room</w:t>
            </w:r>
          </w:p>
        </w:tc>
        <w:tc>
          <w:tcPr>
            <w:tcW w:w="7103" w:type="dxa"/>
          </w:tcPr>
          <w:p w:rsidR="00832B53" w:rsidRDefault="00832B53" w:rsidP="00832B53">
            <w:pPr>
              <w:pStyle w:val="ListParagraph"/>
              <w:numPr>
                <w:ilvl w:val="0"/>
                <w:numId w:val="13"/>
              </w:numPr>
            </w:pPr>
            <w:r>
              <w:t>Benchmarking suggests relative consistency across the standards considered.  Rugby’s proposed standard matches WDC’s 2007 standard, with the standard cut by 50% in ‘accessible areas’.  Stratford DC’s draft standard takes the middle ground and requires 3 spaces / consulting room.</w:t>
            </w:r>
          </w:p>
          <w:p w:rsidR="00832B53" w:rsidRPr="00B62679" w:rsidRDefault="00AA5359" w:rsidP="00832B53">
            <w:pPr>
              <w:pStyle w:val="ListParagraph"/>
              <w:numPr>
                <w:ilvl w:val="0"/>
                <w:numId w:val="13"/>
              </w:numPr>
            </w:pPr>
            <w:r>
              <w:t>There have been no significant observations regarding the existing parking standard</w:t>
            </w:r>
            <w:r w:rsidR="00861CBF">
              <w:t>, and it seems logical based on accommodating staff and patients/visitors.</w:t>
            </w:r>
          </w:p>
        </w:tc>
      </w:tr>
      <w:tr w:rsidR="00832B53" w:rsidTr="00832B53">
        <w:tc>
          <w:tcPr>
            <w:tcW w:w="1291" w:type="dxa"/>
            <w:vMerge/>
          </w:tcPr>
          <w:p w:rsidR="00832B53" w:rsidRPr="00B62679" w:rsidRDefault="00832B53" w:rsidP="00E44865"/>
        </w:tc>
        <w:tc>
          <w:tcPr>
            <w:tcW w:w="1570" w:type="dxa"/>
          </w:tcPr>
          <w:p w:rsidR="00832B53" w:rsidRPr="00B62679" w:rsidRDefault="00C81752" w:rsidP="00E44865">
            <w:r>
              <w:t>Crèche</w:t>
            </w:r>
            <w:r w:rsidR="00832B53">
              <w:t>, day nursery, day centre</w:t>
            </w:r>
          </w:p>
        </w:tc>
        <w:tc>
          <w:tcPr>
            <w:tcW w:w="2112" w:type="dxa"/>
          </w:tcPr>
          <w:p w:rsidR="00832B53" w:rsidRPr="00B62679" w:rsidRDefault="00832B53" w:rsidP="00E44865">
            <w:r>
              <w:t>1 space / FTE staff</w:t>
            </w:r>
          </w:p>
        </w:tc>
        <w:tc>
          <w:tcPr>
            <w:tcW w:w="2098" w:type="dxa"/>
          </w:tcPr>
          <w:p w:rsidR="00832B53" w:rsidRPr="00B62679" w:rsidRDefault="00225313" w:rsidP="00E44865">
            <w:r>
              <w:t>1 space / FTE staff + space for dropping off and collecting children as appropriate.</w:t>
            </w:r>
          </w:p>
        </w:tc>
        <w:tc>
          <w:tcPr>
            <w:tcW w:w="7103" w:type="dxa"/>
          </w:tcPr>
          <w:p w:rsidR="00832B53" w:rsidRDefault="002238AC" w:rsidP="002238AC">
            <w:pPr>
              <w:pStyle w:val="ListParagraph"/>
              <w:numPr>
                <w:ilvl w:val="0"/>
                <w:numId w:val="14"/>
              </w:numPr>
            </w:pPr>
            <w:r>
              <w:t>Benchmarking suggests relative consistency</w:t>
            </w:r>
            <w:r w:rsidR="00ED5931">
              <w:t xml:space="preserve"> in standards applied to this land use, with some requiring “sufficient space” for dropping off and collecting children.</w:t>
            </w:r>
            <w:r w:rsidR="001C6F9F">
              <w:t xml:space="preserve">  </w:t>
            </w:r>
          </w:p>
          <w:p w:rsidR="001C6F9F" w:rsidRPr="00B62679" w:rsidRDefault="001C6F9F" w:rsidP="002238AC">
            <w:pPr>
              <w:pStyle w:val="ListParagraph"/>
              <w:numPr>
                <w:ilvl w:val="0"/>
                <w:numId w:val="14"/>
              </w:numPr>
            </w:pPr>
            <w:r>
              <w:t>The proposed standard is similar to the existing standard, with the exception that it is no longer expressed as a maximum.  The inclusion of drop off/pick up spaces is considered to reflect an obvious likely need, though it is no quantified and will need to be considered on merit.</w:t>
            </w:r>
          </w:p>
        </w:tc>
      </w:tr>
      <w:tr w:rsidR="00832B53" w:rsidTr="00832B53">
        <w:tc>
          <w:tcPr>
            <w:tcW w:w="1291" w:type="dxa"/>
            <w:vMerge/>
          </w:tcPr>
          <w:p w:rsidR="00832B53" w:rsidRPr="00B62679" w:rsidRDefault="00832B53" w:rsidP="00E44865"/>
        </w:tc>
        <w:tc>
          <w:tcPr>
            <w:tcW w:w="1570" w:type="dxa"/>
          </w:tcPr>
          <w:p w:rsidR="00832B53" w:rsidRPr="00B62679" w:rsidRDefault="00832B53" w:rsidP="00E44865">
            <w:r>
              <w:t>Schools</w:t>
            </w:r>
          </w:p>
        </w:tc>
        <w:tc>
          <w:tcPr>
            <w:tcW w:w="2112" w:type="dxa"/>
          </w:tcPr>
          <w:p w:rsidR="00832B53" w:rsidRDefault="00832B53" w:rsidP="00E44865">
            <w:r>
              <w:t>2 spaces / classroom for staff and visitors.</w:t>
            </w:r>
          </w:p>
          <w:p w:rsidR="00832B53" w:rsidRDefault="00832B53" w:rsidP="00E44865"/>
          <w:p w:rsidR="00832B53" w:rsidRPr="00B62679" w:rsidRDefault="00832B53" w:rsidP="00E44865">
            <w:r>
              <w:t xml:space="preserve">+ </w:t>
            </w:r>
            <w:proofErr w:type="gramStart"/>
            <w:r>
              <w:t>facilities</w:t>
            </w:r>
            <w:proofErr w:type="gramEnd"/>
            <w:r>
              <w:t xml:space="preserve"> for picking up and setting down children or as determined by </w:t>
            </w:r>
            <w:r>
              <w:lastRenderedPageBreak/>
              <w:t>Travel Plan.</w:t>
            </w:r>
          </w:p>
        </w:tc>
        <w:tc>
          <w:tcPr>
            <w:tcW w:w="2098" w:type="dxa"/>
          </w:tcPr>
          <w:p w:rsidR="00311CE4" w:rsidRPr="004000F3" w:rsidRDefault="00311CE4" w:rsidP="00311CE4">
            <w:r w:rsidRPr="004000F3">
              <w:lastRenderedPageBreak/>
              <w:t>2 spaces / classroom for staff and visitors.</w:t>
            </w:r>
          </w:p>
          <w:p w:rsidR="00311CE4" w:rsidRPr="004000F3" w:rsidRDefault="00311CE4" w:rsidP="00311CE4"/>
          <w:p w:rsidR="00832B53" w:rsidRPr="00B62679" w:rsidRDefault="00311CE4" w:rsidP="00311CE4">
            <w:r w:rsidRPr="004000F3">
              <w:t xml:space="preserve">+ </w:t>
            </w:r>
            <w:proofErr w:type="gramStart"/>
            <w:r w:rsidRPr="004000F3">
              <w:t>facilities</w:t>
            </w:r>
            <w:proofErr w:type="gramEnd"/>
            <w:r w:rsidRPr="004000F3">
              <w:t xml:space="preserve"> for picking up and setting down children or as </w:t>
            </w:r>
            <w:r w:rsidRPr="004000F3">
              <w:lastRenderedPageBreak/>
              <w:t>determined by Travel Plan.</w:t>
            </w:r>
          </w:p>
        </w:tc>
        <w:tc>
          <w:tcPr>
            <w:tcW w:w="7103" w:type="dxa"/>
          </w:tcPr>
          <w:p w:rsidR="00832B53" w:rsidRPr="00B62679" w:rsidRDefault="007B1AFA" w:rsidP="007B1AFA">
            <w:pPr>
              <w:pStyle w:val="ListParagraph"/>
              <w:numPr>
                <w:ilvl w:val="0"/>
                <w:numId w:val="21"/>
              </w:numPr>
            </w:pPr>
            <w:r>
              <w:lastRenderedPageBreak/>
              <w:t>The benchmarking exercise illustrates that standards in respect of schools and higher education can be expressed differently</w:t>
            </w:r>
            <w:r w:rsidR="00311CE4">
              <w:t>.  However, all standards are expressed to accommodate staff and visitors only and either rule out parent/student parking or suggest each case will be considered on its own merit in this respect.</w:t>
            </w:r>
          </w:p>
        </w:tc>
      </w:tr>
      <w:tr w:rsidR="00832B53" w:rsidTr="00832B53">
        <w:tc>
          <w:tcPr>
            <w:tcW w:w="1291" w:type="dxa"/>
            <w:vMerge/>
          </w:tcPr>
          <w:p w:rsidR="00832B53" w:rsidRPr="00B62679" w:rsidRDefault="00832B53" w:rsidP="00E44865"/>
        </w:tc>
        <w:tc>
          <w:tcPr>
            <w:tcW w:w="1570" w:type="dxa"/>
          </w:tcPr>
          <w:p w:rsidR="00832B53" w:rsidRPr="00B62679" w:rsidRDefault="00832B53" w:rsidP="00E44865">
            <w:r>
              <w:t>Higher and further educational establishments</w:t>
            </w:r>
          </w:p>
        </w:tc>
        <w:tc>
          <w:tcPr>
            <w:tcW w:w="2112" w:type="dxa"/>
          </w:tcPr>
          <w:p w:rsidR="00832B53" w:rsidRDefault="00832B53" w:rsidP="00E44865">
            <w:r>
              <w:t>2 space</w:t>
            </w:r>
            <w:r w:rsidR="007B1AFA">
              <w:t>s</w:t>
            </w:r>
            <w:r>
              <w:t xml:space="preserve"> / classroom for staff and visitors;</w:t>
            </w:r>
          </w:p>
          <w:p w:rsidR="00832B53" w:rsidRDefault="00832B53" w:rsidP="00E44865"/>
          <w:p w:rsidR="00832B53" w:rsidRPr="00B62679" w:rsidRDefault="00832B53" w:rsidP="00E44865">
            <w:r>
              <w:t>Student/parent parking to be determined on merit or according to Travel Plan</w:t>
            </w:r>
          </w:p>
        </w:tc>
        <w:tc>
          <w:tcPr>
            <w:tcW w:w="2098" w:type="dxa"/>
          </w:tcPr>
          <w:p w:rsidR="00311CE4" w:rsidRPr="004000F3" w:rsidRDefault="00311CE4" w:rsidP="00311CE4">
            <w:r w:rsidRPr="004000F3">
              <w:t>2 spaces / classroom for staff and visitors;</w:t>
            </w:r>
          </w:p>
          <w:p w:rsidR="00311CE4" w:rsidRPr="004000F3" w:rsidRDefault="00311CE4" w:rsidP="00311CE4"/>
          <w:p w:rsidR="00832B53" w:rsidRPr="00B62679" w:rsidRDefault="00311CE4" w:rsidP="00311CE4">
            <w:r w:rsidRPr="004000F3">
              <w:t>Student/parent parking to be determined on merit or according to Travel Plan</w:t>
            </w:r>
          </w:p>
        </w:tc>
        <w:tc>
          <w:tcPr>
            <w:tcW w:w="7103" w:type="dxa"/>
          </w:tcPr>
          <w:p w:rsidR="00832B53" w:rsidRPr="00B62679" w:rsidRDefault="00311CE4" w:rsidP="00311CE4">
            <w:pPr>
              <w:pStyle w:val="ListParagraph"/>
              <w:numPr>
                <w:ilvl w:val="0"/>
                <w:numId w:val="21"/>
              </w:numPr>
            </w:pPr>
            <w:r>
              <w:t>The benchmarking exercise illustrates that standards in respect of schools and higher education can be expressed differently.  However, all standards are expressed to accommodate staff and visitors only and either rule out parent/student parking or suggest each case will be considered on its own merit in this respect.</w:t>
            </w:r>
          </w:p>
        </w:tc>
      </w:tr>
      <w:tr w:rsidR="00832B53" w:rsidTr="00832B53">
        <w:tc>
          <w:tcPr>
            <w:tcW w:w="1291" w:type="dxa"/>
            <w:vMerge/>
          </w:tcPr>
          <w:p w:rsidR="00832B53" w:rsidRPr="00B62679" w:rsidRDefault="00832B53" w:rsidP="00E44865"/>
        </w:tc>
        <w:tc>
          <w:tcPr>
            <w:tcW w:w="1570" w:type="dxa"/>
          </w:tcPr>
          <w:p w:rsidR="00832B53" w:rsidRDefault="00832B53" w:rsidP="00E44865">
            <w:r>
              <w:t>Art galleries, museums and libraries</w:t>
            </w:r>
          </w:p>
        </w:tc>
        <w:tc>
          <w:tcPr>
            <w:tcW w:w="2112" w:type="dxa"/>
          </w:tcPr>
          <w:p w:rsidR="00832B53" w:rsidRDefault="00832B53" w:rsidP="00E44865">
            <w:r>
              <w:t>1 space / 30sqm</w:t>
            </w:r>
          </w:p>
        </w:tc>
        <w:tc>
          <w:tcPr>
            <w:tcW w:w="2098" w:type="dxa"/>
          </w:tcPr>
          <w:p w:rsidR="00832B53" w:rsidRPr="00B62679" w:rsidRDefault="002E3EFE" w:rsidP="00E44865">
            <w:r>
              <w:t>1 space / 30sqm</w:t>
            </w:r>
          </w:p>
        </w:tc>
        <w:tc>
          <w:tcPr>
            <w:tcW w:w="7103" w:type="dxa"/>
          </w:tcPr>
          <w:p w:rsidR="00832B53" w:rsidRPr="00B62679" w:rsidRDefault="002E3EFE" w:rsidP="00594DE6">
            <w:pPr>
              <w:pStyle w:val="ListParagraph"/>
              <w:numPr>
                <w:ilvl w:val="0"/>
                <w:numId w:val="14"/>
              </w:numPr>
            </w:pPr>
            <w:r>
              <w:t>The benchmarking exercise revealed that not many LPAs have a specific standard for this type of land use.  Northamptonshire’s standard matched WDC’s 2007 standard (though it is stated as a minimum rather than a maximum).</w:t>
            </w:r>
          </w:p>
        </w:tc>
      </w:tr>
      <w:tr w:rsidR="00832B53" w:rsidTr="00832B53">
        <w:tc>
          <w:tcPr>
            <w:tcW w:w="1291" w:type="dxa"/>
            <w:vMerge/>
          </w:tcPr>
          <w:p w:rsidR="00832B53" w:rsidRPr="00B62679" w:rsidRDefault="00832B53" w:rsidP="00E44865"/>
        </w:tc>
        <w:tc>
          <w:tcPr>
            <w:tcW w:w="1570" w:type="dxa"/>
          </w:tcPr>
          <w:p w:rsidR="00832B53" w:rsidRDefault="00832B53" w:rsidP="00E44865">
            <w:r>
              <w:t>Places of Worship</w:t>
            </w:r>
          </w:p>
        </w:tc>
        <w:tc>
          <w:tcPr>
            <w:tcW w:w="2112" w:type="dxa"/>
          </w:tcPr>
          <w:p w:rsidR="00832B53" w:rsidRDefault="00832B53" w:rsidP="00E44865">
            <w:r>
              <w:t>1 space / 10sqm or 5 seats/person spaces</w:t>
            </w:r>
          </w:p>
        </w:tc>
        <w:tc>
          <w:tcPr>
            <w:tcW w:w="2098" w:type="dxa"/>
          </w:tcPr>
          <w:p w:rsidR="00832B53" w:rsidRPr="00B62679" w:rsidRDefault="00131454" w:rsidP="00E44865">
            <w:r>
              <w:t>1 space / 10sqm or 5 seats/person spaces</w:t>
            </w:r>
          </w:p>
        </w:tc>
        <w:tc>
          <w:tcPr>
            <w:tcW w:w="7103" w:type="dxa"/>
          </w:tcPr>
          <w:p w:rsidR="00832B53" w:rsidRPr="00B62679" w:rsidRDefault="00131454" w:rsidP="00131454">
            <w:pPr>
              <w:pStyle w:val="ListParagraph"/>
              <w:numPr>
                <w:ilvl w:val="0"/>
                <w:numId w:val="14"/>
              </w:numPr>
            </w:pPr>
            <w:r>
              <w:t xml:space="preserve">No all parking standards compared separate this land use out specifically.  Amongst those that do, there </w:t>
            </w:r>
            <w:proofErr w:type="gramStart"/>
            <w:r>
              <w:t>is</w:t>
            </w:r>
            <w:proofErr w:type="gramEnd"/>
            <w:r>
              <w:t xml:space="preserve"> some differences, except Rugby BC is currently proposing a standard identical to the existing Warwick DC standard.  Therefore propose to retain the standard in the same format.</w:t>
            </w:r>
          </w:p>
        </w:tc>
      </w:tr>
      <w:tr w:rsidR="00832B53" w:rsidTr="00832B53">
        <w:tc>
          <w:tcPr>
            <w:tcW w:w="1291" w:type="dxa"/>
            <w:vMerge/>
          </w:tcPr>
          <w:p w:rsidR="00832B53" w:rsidRPr="00B62679" w:rsidRDefault="00832B53" w:rsidP="00E44865"/>
        </w:tc>
        <w:tc>
          <w:tcPr>
            <w:tcW w:w="1570" w:type="dxa"/>
          </w:tcPr>
          <w:p w:rsidR="00832B53" w:rsidRDefault="00832B53" w:rsidP="00E44865">
            <w:r>
              <w:t xml:space="preserve">Public halls, exhibition halls </w:t>
            </w:r>
            <w:proofErr w:type="spellStart"/>
            <w:r>
              <w:t>etc</w:t>
            </w:r>
            <w:proofErr w:type="spellEnd"/>
          </w:p>
        </w:tc>
        <w:tc>
          <w:tcPr>
            <w:tcW w:w="2112" w:type="dxa"/>
          </w:tcPr>
          <w:p w:rsidR="00832B53" w:rsidRDefault="00832B53" w:rsidP="00E44865">
            <w:r>
              <w:t>To be considered on own merits</w:t>
            </w:r>
          </w:p>
        </w:tc>
        <w:tc>
          <w:tcPr>
            <w:tcW w:w="2098" w:type="dxa"/>
          </w:tcPr>
          <w:p w:rsidR="00832B53" w:rsidRPr="00B62679" w:rsidRDefault="00311CE4" w:rsidP="00E44865">
            <w:r>
              <w:t>To be considered on own merits</w:t>
            </w:r>
          </w:p>
        </w:tc>
        <w:tc>
          <w:tcPr>
            <w:tcW w:w="7103" w:type="dxa"/>
          </w:tcPr>
          <w:p w:rsidR="00832B53" w:rsidRPr="00B62679" w:rsidRDefault="00311CE4" w:rsidP="00311CE4">
            <w:pPr>
              <w:pStyle w:val="ListParagraph"/>
              <w:numPr>
                <w:ilvl w:val="0"/>
                <w:numId w:val="14"/>
              </w:numPr>
            </w:pPr>
            <w:r>
              <w:t>The 2007 WDC standards do not specify a level of parking for public halls.  There is not considered to be sufficient evidence to determine a consistent approach and therefore no specifi</w:t>
            </w:r>
            <w:r w:rsidR="004000F3">
              <w:t>c standard is proposed for this</w:t>
            </w:r>
            <w:r>
              <w:t xml:space="preserve"> land use.</w:t>
            </w:r>
          </w:p>
        </w:tc>
      </w:tr>
      <w:tr w:rsidR="00C83B95" w:rsidTr="00832B53">
        <w:tc>
          <w:tcPr>
            <w:tcW w:w="1291" w:type="dxa"/>
            <w:vMerge w:val="restart"/>
          </w:tcPr>
          <w:p w:rsidR="00C83B95" w:rsidRPr="00B62679" w:rsidRDefault="00C83B95" w:rsidP="00E44865">
            <w:r>
              <w:t>D2  - Assembly and leisure</w:t>
            </w:r>
          </w:p>
        </w:tc>
        <w:tc>
          <w:tcPr>
            <w:tcW w:w="1570" w:type="dxa"/>
          </w:tcPr>
          <w:p w:rsidR="00C83B95" w:rsidRDefault="00C83B95" w:rsidP="00E44865">
            <w:r>
              <w:t>Cinemas, conference facilities, concert halls, theatres and other similar spectator facilities</w:t>
            </w:r>
          </w:p>
        </w:tc>
        <w:tc>
          <w:tcPr>
            <w:tcW w:w="2112" w:type="dxa"/>
          </w:tcPr>
          <w:p w:rsidR="00C83B95" w:rsidRDefault="00C83B95" w:rsidP="00E44865">
            <w:r>
              <w:t>1 space /  5 seats</w:t>
            </w:r>
          </w:p>
        </w:tc>
        <w:tc>
          <w:tcPr>
            <w:tcW w:w="2098" w:type="dxa"/>
          </w:tcPr>
          <w:p w:rsidR="00C83B95" w:rsidRPr="00B62679" w:rsidRDefault="008F7B09" w:rsidP="00E44865">
            <w:r>
              <w:t>1 space /5 seats</w:t>
            </w:r>
          </w:p>
        </w:tc>
        <w:tc>
          <w:tcPr>
            <w:tcW w:w="7103" w:type="dxa"/>
          </w:tcPr>
          <w:p w:rsidR="00C83B95" w:rsidRPr="00B62679" w:rsidRDefault="00C83B95" w:rsidP="00C83B95">
            <w:pPr>
              <w:pStyle w:val="ListParagraph"/>
              <w:numPr>
                <w:ilvl w:val="0"/>
                <w:numId w:val="14"/>
              </w:numPr>
            </w:pPr>
            <w:r>
              <w:t>1/5 seats is replicated in other examples in the benchmarking exercise.  Only Stratford has produced a higher standard 1/3</w:t>
            </w:r>
          </w:p>
        </w:tc>
      </w:tr>
      <w:tr w:rsidR="00C83B95" w:rsidTr="00832B53">
        <w:tc>
          <w:tcPr>
            <w:tcW w:w="1291" w:type="dxa"/>
            <w:vMerge/>
          </w:tcPr>
          <w:p w:rsidR="00C83B95" w:rsidRPr="00B62679" w:rsidRDefault="00C83B95" w:rsidP="00E44865"/>
        </w:tc>
        <w:tc>
          <w:tcPr>
            <w:tcW w:w="1570" w:type="dxa"/>
          </w:tcPr>
          <w:p w:rsidR="00C83B95" w:rsidRDefault="00C83B95" w:rsidP="00E44865">
            <w:r>
              <w:t xml:space="preserve">Dance halls, discotheques </w:t>
            </w:r>
            <w:r>
              <w:lastRenderedPageBreak/>
              <w:t>and indoor play areas</w:t>
            </w:r>
          </w:p>
        </w:tc>
        <w:tc>
          <w:tcPr>
            <w:tcW w:w="2112" w:type="dxa"/>
          </w:tcPr>
          <w:p w:rsidR="00C83B95" w:rsidRDefault="00C83B95" w:rsidP="00E44865">
            <w:r>
              <w:lastRenderedPageBreak/>
              <w:t>1 space / 20sqm</w:t>
            </w:r>
          </w:p>
        </w:tc>
        <w:tc>
          <w:tcPr>
            <w:tcW w:w="2098" w:type="dxa"/>
          </w:tcPr>
          <w:p w:rsidR="00C83B95" w:rsidRPr="00B62679" w:rsidRDefault="00950A08" w:rsidP="00950A08">
            <w:r>
              <w:t>n/a</w:t>
            </w:r>
          </w:p>
        </w:tc>
        <w:tc>
          <w:tcPr>
            <w:tcW w:w="7103" w:type="dxa"/>
          </w:tcPr>
          <w:p w:rsidR="00C83B95" w:rsidRPr="00B62679" w:rsidRDefault="002A24F0" w:rsidP="002A24F0">
            <w:pPr>
              <w:pStyle w:val="ListParagraph"/>
              <w:numPr>
                <w:ilvl w:val="0"/>
                <w:numId w:val="14"/>
              </w:numPr>
            </w:pPr>
            <w:r>
              <w:t xml:space="preserve">The benchmarking exercise illustrates that only WDC and Rugby BC have separated this land use out, and the standards are identical.  </w:t>
            </w:r>
            <w:r w:rsidR="004000F3">
              <w:t xml:space="preserve">As </w:t>
            </w:r>
            <w:r w:rsidR="004000F3">
              <w:lastRenderedPageBreak/>
              <w:t>planning applications for these uses are infrequent, it is proposed that this land use does not have a defined parking standard and each case is considered on its own merits.</w:t>
            </w:r>
          </w:p>
        </w:tc>
      </w:tr>
      <w:tr w:rsidR="00C83B95" w:rsidTr="00832B53">
        <w:tc>
          <w:tcPr>
            <w:tcW w:w="1291" w:type="dxa"/>
            <w:vMerge/>
          </w:tcPr>
          <w:p w:rsidR="00C83B95" w:rsidRPr="00B62679" w:rsidRDefault="00C83B95" w:rsidP="00E44865"/>
        </w:tc>
        <w:tc>
          <w:tcPr>
            <w:tcW w:w="1570" w:type="dxa"/>
          </w:tcPr>
          <w:p w:rsidR="00C83B95" w:rsidRDefault="00C83B95" w:rsidP="00E44865">
            <w:r>
              <w:t>Bowling centres, bowling greens</w:t>
            </w:r>
          </w:p>
        </w:tc>
        <w:tc>
          <w:tcPr>
            <w:tcW w:w="2112" w:type="dxa"/>
          </w:tcPr>
          <w:p w:rsidR="00C83B95" w:rsidRDefault="00C83B95" w:rsidP="00E44865">
            <w:r>
              <w:t>3 spaces / lane</w:t>
            </w:r>
          </w:p>
        </w:tc>
        <w:tc>
          <w:tcPr>
            <w:tcW w:w="2098" w:type="dxa"/>
          </w:tcPr>
          <w:p w:rsidR="00C83B95" w:rsidRPr="00B62679" w:rsidRDefault="00950A08" w:rsidP="00950A08">
            <w:r>
              <w:t>n/a</w:t>
            </w:r>
          </w:p>
        </w:tc>
        <w:tc>
          <w:tcPr>
            <w:tcW w:w="7103" w:type="dxa"/>
          </w:tcPr>
          <w:p w:rsidR="00C83B95" w:rsidRPr="00B62679" w:rsidRDefault="002A24F0" w:rsidP="002A24F0">
            <w:pPr>
              <w:pStyle w:val="ListParagraph"/>
              <w:numPr>
                <w:ilvl w:val="0"/>
                <w:numId w:val="14"/>
              </w:numPr>
            </w:pPr>
            <w:r>
              <w:t>The benchmarking exercise illustrates that only WDC and Rugby BC have separated this land use out, an</w:t>
            </w:r>
            <w:r w:rsidR="004000F3">
              <w:t>d the standards are identical.  As planning proposals for this type of development are infrequent, it is proposed that this specific land use does not have a bespoke parking standard and that instead each case is considered on its own merits.</w:t>
            </w:r>
          </w:p>
        </w:tc>
      </w:tr>
      <w:tr w:rsidR="00C83B95" w:rsidTr="00832B53">
        <w:tc>
          <w:tcPr>
            <w:tcW w:w="1291" w:type="dxa"/>
            <w:vMerge/>
          </w:tcPr>
          <w:p w:rsidR="00C83B95" w:rsidRPr="00B62679" w:rsidRDefault="00C83B95" w:rsidP="00E44865"/>
        </w:tc>
        <w:tc>
          <w:tcPr>
            <w:tcW w:w="1570" w:type="dxa"/>
          </w:tcPr>
          <w:p w:rsidR="00C83B95" w:rsidRDefault="00C83B95" w:rsidP="00E44865">
            <w:r>
              <w:t>Swimming pools, health clubs and gymnasia</w:t>
            </w:r>
          </w:p>
        </w:tc>
        <w:tc>
          <w:tcPr>
            <w:tcW w:w="2112" w:type="dxa"/>
          </w:tcPr>
          <w:p w:rsidR="00C83B95" w:rsidRDefault="00C83B95" w:rsidP="00E44865">
            <w:r>
              <w:t>1 space / 10sqm + 1 space / 4 spectator seats</w:t>
            </w:r>
          </w:p>
        </w:tc>
        <w:tc>
          <w:tcPr>
            <w:tcW w:w="2098" w:type="dxa"/>
          </w:tcPr>
          <w:p w:rsidR="00C83B95" w:rsidRPr="00B62679" w:rsidRDefault="00950A08" w:rsidP="00E44865">
            <w:r>
              <w:t>1 space / 10sqm + 1 space / 4 spectator seats</w:t>
            </w:r>
          </w:p>
        </w:tc>
        <w:tc>
          <w:tcPr>
            <w:tcW w:w="7103" w:type="dxa"/>
          </w:tcPr>
          <w:p w:rsidR="00C83B95" w:rsidRPr="00B62679" w:rsidRDefault="00C83B95" w:rsidP="00C83B95">
            <w:pPr>
              <w:pStyle w:val="ListParagraph"/>
              <w:numPr>
                <w:ilvl w:val="0"/>
                <w:numId w:val="14"/>
              </w:numPr>
            </w:pPr>
            <w:r>
              <w:t xml:space="preserve">Parking standards for this type of land use are shown to </w:t>
            </w:r>
            <w:r w:rsidR="00A60EC1">
              <w:t xml:space="preserve">be </w:t>
            </w:r>
            <w:r>
              <w:t>expressed differently w</w:t>
            </w:r>
            <w:r w:rsidR="004000F3">
              <w:t>ithin the benchmarking exercise, making direct comparison challenging.  Propose to retain the existing numerical standard, as no alternative evidence convincingly evidences a need to change it at this time.</w:t>
            </w:r>
            <w:r w:rsidR="008276B2">
              <w:t xml:space="preserve">  As set out below in this table, it is proposed that other specific indoor sports land uses are also incorporated into this standard.</w:t>
            </w:r>
          </w:p>
        </w:tc>
      </w:tr>
      <w:tr w:rsidR="00C83B95" w:rsidTr="00832B53">
        <w:tc>
          <w:tcPr>
            <w:tcW w:w="1291" w:type="dxa"/>
            <w:vMerge/>
          </w:tcPr>
          <w:p w:rsidR="00C83B95" w:rsidRPr="00B62679" w:rsidRDefault="00C83B95" w:rsidP="00E44865"/>
        </w:tc>
        <w:tc>
          <w:tcPr>
            <w:tcW w:w="1570" w:type="dxa"/>
          </w:tcPr>
          <w:p w:rsidR="00C83B95" w:rsidRDefault="00C83B95" w:rsidP="00E44865">
            <w:r>
              <w:t>Golf courses</w:t>
            </w:r>
          </w:p>
        </w:tc>
        <w:tc>
          <w:tcPr>
            <w:tcW w:w="2112" w:type="dxa"/>
          </w:tcPr>
          <w:p w:rsidR="00C83B95" w:rsidRDefault="00C83B95" w:rsidP="00E44865">
            <w:r>
              <w:t>3 spaces / hole</w:t>
            </w:r>
          </w:p>
        </w:tc>
        <w:tc>
          <w:tcPr>
            <w:tcW w:w="2098" w:type="dxa"/>
          </w:tcPr>
          <w:p w:rsidR="00C83B95" w:rsidRPr="00B62679" w:rsidRDefault="00A60EC1" w:rsidP="00E44865">
            <w:r>
              <w:t>3 spaces / hole</w:t>
            </w:r>
          </w:p>
        </w:tc>
        <w:tc>
          <w:tcPr>
            <w:tcW w:w="7103" w:type="dxa"/>
          </w:tcPr>
          <w:p w:rsidR="00C83B95" w:rsidRPr="00B62679" w:rsidRDefault="005030F9" w:rsidP="005030F9">
            <w:pPr>
              <w:pStyle w:val="ListParagraph"/>
              <w:numPr>
                <w:ilvl w:val="0"/>
                <w:numId w:val="14"/>
              </w:numPr>
            </w:pPr>
            <w:r>
              <w:t xml:space="preserve">3 spaces / hole is the standard Northamptonshire adopt also, though Rugby BC proposes a slightly higher standard </w:t>
            </w:r>
            <w:proofErr w:type="gramStart"/>
            <w:r>
              <w:t>at 4 spaces/hole……</w:t>
            </w:r>
            <w:proofErr w:type="gramEnd"/>
          </w:p>
        </w:tc>
      </w:tr>
      <w:tr w:rsidR="00C83B95" w:rsidTr="00832B53">
        <w:tc>
          <w:tcPr>
            <w:tcW w:w="1291" w:type="dxa"/>
            <w:vMerge/>
          </w:tcPr>
          <w:p w:rsidR="00C83B95" w:rsidRPr="00B62679" w:rsidRDefault="00C83B95" w:rsidP="00E44865"/>
        </w:tc>
        <w:tc>
          <w:tcPr>
            <w:tcW w:w="1570" w:type="dxa"/>
          </w:tcPr>
          <w:p w:rsidR="00C83B95" w:rsidRDefault="00C83B95" w:rsidP="00E44865">
            <w:r>
              <w:t>Marinas, sailing and water based uses, ice rinks</w:t>
            </w:r>
          </w:p>
        </w:tc>
        <w:tc>
          <w:tcPr>
            <w:tcW w:w="2112" w:type="dxa"/>
          </w:tcPr>
          <w:p w:rsidR="00C83B95" w:rsidRDefault="00C83B95" w:rsidP="00E44865">
            <w:r>
              <w:t>Each case considered on own merits</w:t>
            </w:r>
          </w:p>
        </w:tc>
        <w:tc>
          <w:tcPr>
            <w:tcW w:w="2098" w:type="dxa"/>
          </w:tcPr>
          <w:p w:rsidR="00C83B95" w:rsidRPr="00B62679" w:rsidRDefault="00A60EC1" w:rsidP="00E44865">
            <w:r>
              <w:t>n/a</w:t>
            </w:r>
          </w:p>
        </w:tc>
        <w:tc>
          <w:tcPr>
            <w:tcW w:w="7103" w:type="dxa"/>
          </w:tcPr>
          <w:p w:rsidR="00C83B95" w:rsidRPr="00B62679" w:rsidRDefault="00C83B95" w:rsidP="00C83B95">
            <w:pPr>
              <w:pStyle w:val="ListParagraph"/>
              <w:numPr>
                <w:ilvl w:val="0"/>
                <w:numId w:val="14"/>
              </w:numPr>
            </w:pPr>
            <w:r>
              <w:t>The benchmarking exercise has illustrated that most Parking Standard policies do not separate this land use out within the D2 use class for its own bespoke standard.  Given that examples of this type of development proposal are likely to be infrequent, it is considered</w:t>
            </w:r>
            <w:r w:rsidR="005030F9">
              <w:t xml:space="preserve"> appropriate to continue to assess these cases on their own merits.</w:t>
            </w:r>
          </w:p>
        </w:tc>
      </w:tr>
      <w:tr w:rsidR="005030F9" w:rsidTr="00832B53">
        <w:tc>
          <w:tcPr>
            <w:tcW w:w="1291" w:type="dxa"/>
            <w:vMerge/>
          </w:tcPr>
          <w:p w:rsidR="005030F9" w:rsidRPr="00B62679" w:rsidRDefault="005030F9" w:rsidP="00E44865"/>
        </w:tc>
        <w:tc>
          <w:tcPr>
            <w:tcW w:w="1570" w:type="dxa"/>
          </w:tcPr>
          <w:p w:rsidR="005030F9" w:rsidRDefault="005030F9" w:rsidP="00E44865">
            <w:r>
              <w:t>Tennis and badminton courts</w:t>
            </w:r>
          </w:p>
        </w:tc>
        <w:tc>
          <w:tcPr>
            <w:tcW w:w="2112" w:type="dxa"/>
          </w:tcPr>
          <w:p w:rsidR="005030F9" w:rsidRDefault="005030F9" w:rsidP="00E44865">
            <w:r>
              <w:t>3 spaces / court</w:t>
            </w:r>
          </w:p>
        </w:tc>
        <w:tc>
          <w:tcPr>
            <w:tcW w:w="2098" w:type="dxa"/>
          </w:tcPr>
          <w:p w:rsidR="005030F9" w:rsidRPr="00B62679" w:rsidRDefault="00A60EC1" w:rsidP="00E44865">
            <w:r>
              <w:t>n/a</w:t>
            </w:r>
          </w:p>
        </w:tc>
        <w:tc>
          <w:tcPr>
            <w:tcW w:w="7103" w:type="dxa"/>
            <w:vMerge w:val="restart"/>
          </w:tcPr>
          <w:p w:rsidR="005030F9" w:rsidRDefault="005030F9" w:rsidP="005030F9">
            <w:pPr>
              <w:pStyle w:val="ListParagraph"/>
              <w:numPr>
                <w:ilvl w:val="0"/>
                <w:numId w:val="14"/>
              </w:numPr>
            </w:pPr>
            <w:r>
              <w:t>The benchmarking exercise has illustrated that other parking standard policy documents do not commonly separate out these land uses within the D2 use class.  Instead, more commonly playing courts such as these are encompassed within an ‘indoor sport’ category, though within this there is no consistent approach to the parking standard set out.</w:t>
            </w:r>
          </w:p>
          <w:p w:rsidR="005030F9" w:rsidRPr="00B62679" w:rsidRDefault="00FD7CC9" w:rsidP="005030F9">
            <w:pPr>
              <w:pStyle w:val="ListParagraph"/>
              <w:numPr>
                <w:ilvl w:val="0"/>
                <w:numId w:val="14"/>
              </w:numPr>
            </w:pPr>
            <w:r>
              <w:t>It is proposed that no bespoke standard for these types of development.  Instead these would come under an amended group of land uses incorporating indoor sports halls and other indoor leisure pursuits.</w:t>
            </w:r>
          </w:p>
        </w:tc>
      </w:tr>
      <w:tr w:rsidR="005030F9" w:rsidTr="00832B53">
        <w:tc>
          <w:tcPr>
            <w:tcW w:w="1291" w:type="dxa"/>
            <w:vMerge/>
          </w:tcPr>
          <w:p w:rsidR="005030F9" w:rsidRPr="00B62679" w:rsidRDefault="005030F9" w:rsidP="00E44865"/>
        </w:tc>
        <w:tc>
          <w:tcPr>
            <w:tcW w:w="1570" w:type="dxa"/>
          </w:tcPr>
          <w:p w:rsidR="005030F9" w:rsidRDefault="005030F9" w:rsidP="00E44865">
            <w:r>
              <w:t>Squash courts</w:t>
            </w:r>
          </w:p>
        </w:tc>
        <w:tc>
          <w:tcPr>
            <w:tcW w:w="2112" w:type="dxa"/>
          </w:tcPr>
          <w:p w:rsidR="005030F9" w:rsidRDefault="005030F9" w:rsidP="00E44865">
            <w:r>
              <w:t>2 spaces / court</w:t>
            </w:r>
          </w:p>
        </w:tc>
        <w:tc>
          <w:tcPr>
            <w:tcW w:w="2098" w:type="dxa"/>
          </w:tcPr>
          <w:p w:rsidR="005030F9" w:rsidRPr="00B62679" w:rsidRDefault="00A60EC1" w:rsidP="00E44865">
            <w:r>
              <w:t>n/a</w:t>
            </w:r>
          </w:p>
        </w:tc>
        <w:tc>
          <w:tcPr>
            <w:tcW w:w="7103" w:type="dxa"/>
            <w:vMerge/>
          </w:tcPr>
          <w:p w:rsidR="005030F9" w:rsidRPr="00B62679" w:rsidRDefault="005030F9" w:rsidP="00E44865"/>
        </w:tc>
      </w:tr>
      <w:tr w:rsidR="00C83B95" w:rsidTr="00832B53">
        <w:tc>
          <w:tcPr>
            <w:tcW w:w="1291" w:type="dxa"/>
            <w:vMerge/>
          </w:tcPr>
          <w:p w:rsidR="00C83B95" w:rsidRPr="00B62679" w:rsidRDefault="00C83B95" w:rsidP="00E44865"/>
        </w:tc>
        <w:tc>
          <w:tcPr>
            <w:tcW w:w="1570" w:type="dxa"/>
          </w:tcPr>
          <w:p w:rsidR="00C83B95" w:rsidRDefault="00C83B95" w:rsidP="00E44865">
            <w:r>
              <w:t>Playing Fields</w:t>
            </w:r>
          </w:p>
        </w:tc>
        <w:tc>
          <w:tcPr>
            <w:tcW w:w="2112" w:type="dxa"/>
          </w:tcPr>
          <w:p w:rsidR="00C83B95" w:rsidRDefault="00C83B95" w:rsidP="00E44865">
            <w:r>
              <w:t xml:space="preserve">12 spaces / pitch </w:t>
            </w:r>
            <w:r>
              <w:lastRenderedPageBreak/>
              <w:t>plus motor coach space /pitch</w:t>
            </w:r>
          </w:p>
        </w:tc>
        <w:tc>
          <w:tcPr>
            <w:tcW w:w="2098" w:type="dxa"/>
          </w:tcPr>
          <w:p w:rsidR="00C83B95" w:rsidRDefault="008276B2" w:rsidP="00E44865">
            <w:r>
              <w:lastRenderedPageBreak/>
              <w:t xml:space="preserve">12 spaces / pitch </w:t>
            </w:r>
            <w:r>
              <w:lastRenderedPageBreak/>
              <w:t>plus motor coach space</w:t>
            </w:r>
          </w:p>
          <w:p w:rsidR="00556808" w:rsidRPr="00B62679" w:rsidRDefault="00556808" w:rsidP="00E44865">
            <w:r>
              <w:t>**other facilities such as club houses and bars must be considered separately</w:t>
            </w:r>
          </w:p>
        </w:tc>
        <w:tc>
          <w:tcPr>
            <w:tcW w:w="7103" w:type="dxa"/>
          </w:tcPr>
          <w:p w:rsidR="00E130A1" w:rsidRDefault="00E130A1" w:rsidP="00E130A1">
            <w:pPr>
              <w:pStyle w:val="ListParagraph"/>
              <w:numPr>
                <w:ilvl w:val="0"/>
                <w:numId w:val="14"/>
              </w:numPr>
            </w:pPr>
            <w:r>
              <w:lastRenderedPageBreak/>
              <w:t xml:space="preserve">The benchmarking exercise has illustrated that other parking </w:t>
            </w:r>
            <w:r>
              <w:lastRenderedPageBreak/>
              <w:t>standard policy documents do not commonly separate out this land use within the D2 use class</w:t>
            </w:r>
            <w:r w:rsidR="008276B2">
              <w:t xml:space="preserve"> or refer to it separately as ‘sports grounds’ (table ).  </w:t>
            </w:r>
            <w:r w:rsidR="00556808">
              <w:t>It is proposed to retain the existing standard on this basis, but to highlight in a clearer fashion that other facilities on site should be subject to separate parking calculations.</w:t>
            </w:r>
          </w:p>
          <w:p w:rsidR="00C83B95" w:rsidRPr="00B62679" w:rsidRDefault="00C83B95" w:rsidP="00E44865"/>
        </w:tc>
      </w:tr>
      <w:tr w:rsidR="00C83B95" w:rsidTr="00832B53">
        <w:tc>
          <w:tcPr>
            <w:tcW w:w="1291" w:type="dxa"/>
            <w:vMerge/>
          </w:tcPr>
          <w:p w:rsidR="00C83B95" w:rsidRPr="00B62679" w:rsidRDefault="00C83B95" w:rsidP="00E44865"/>
        </w:tc>
        <w:tc>
          <w:tcPr>
            <w:tcW w:w="1570" w:type="dxa"/>
          </w:tcPr>
          <w:p w:rsidR="00C83B95" w:rsidRDefault="00C83B95" w:rsidP="00E44865">
            <w:r>
              <w:t>Stadia</w:t>
            </w:r>
          </w:p>
        </w:tc>
        <w:tc>
          <w:tcPr>
            <w:tcW w:w="2112" w:type="dxa"/>
          </w:tcPr>
          <w:p w:rsidR="00C83B95" w:rsidRDefault="00C83B95" w:rsidP="00E44865">
            <w:r>
              <w:t>1 space / 15 seats + motor coach parking</w:t>
            </w:r>
          </w:p>
        </w:tc>
        <w:tc>
          <w:tcPr>
            <w:tcW w:w="2098" w:type="dxa"/>
          </w:tcPr>
          <w:p w:rsidR="00C83B95" w:rsidRPr="00B62679" w:rsidRDefault="00C83B95" w:rsidP="00E44865"/>
        </w:tc>
        <w:tc>
          <w:tcPr>
            <w:tcW w:w="7103" w:type="dxa"/>
          </w:tcPr>
          <w:p w:rsidR="00C83B95" w:rsidRPr="00B62679" w:rsidRDefault="00C83B95" w:rsidP="00E44865"/>
        </w:tc>
      </w:tr>
      <w:tr w:rsidR="00C83B95" w:rsidTr="00832B53">
        <w:tc>
          <w:tcPr>
            <w:tcW w:w="1291" w:type="dxa"/>
            <w:vMerge/>
          </w:tcPr>
          <w:p w:rsidR="00C83B95" w:rsidRPr="00B62679" w:rsidRDefault="00C83B95" w:rsidP="00E44865"/>
        </w:tc>
        <w:tc>
          <w:tcPr>
            <w:tcW w:w="1570" w:type="dxa"/>
          </w:tcPr>
          <w:p w:rsidR="00C83B95" w:rsidRDefault="00C83B95" w:rsidP="00E44865">
            <w:r>
              <w:t>Composite facilities and other sports and leisure facilities</w:t>
            </w:r>
          </w:p>
        </w:tc>
        <w:tc>
          <w:tcPr>
            <w:tcW w:w="2112" w:type="dxa"/>
          </w:tcPr>
          <w:p w:rsidR="00C83B95" w:rsidRDefault="00C83B95" w:rsidP="00E44865">
            <w:r>
              <w:t>Each case considered on its own merits based on the standards above.</w:t>
            </w:r>
          </w:p>
        </w:tc>
        <w:tc>
          <w:tcPr>
            <w:tcW w:w="2098" w:type="dxa"/>
          </w:tcPr>
          <w:p w:rsidR="00C83B95" w:rsidRPr="00B62679" w:rsidRDefault="00416061" w:rsidP="00E44865">
            <w:r>
              <w:t xml:space="preserve">Calculate a total amount of parking based on the </w:t>
            </w:r>
            <w:r w:rsidR="005615B3">
              <w:t>parking standards for each use class and land use therein.</w:t>
            </w:r>
          </w:p>
        </w:tc>
        <w:tc>
          <w:tcPr>
            <w:tcW w:w="7103" w:type="dxa"/>
          </w:tcPr>
          <w:p w:rsidR="00C83B95" w:rsidRDefault="00E130A1" w:rsidP="00E130A1">
            <w:pPr>
              <w:pStyle w:val="ListParagraph"/>
              <w:numPr>
                <w:ilvl w:val="0"/>
                <w:numId w:val="14"/>
              </w:numPr>
            </w:pPr>
            <w:r>
              <w:t xml:space="preserve">As outlined under various land uses within the D2 use class above, few other examples examined as part of this process separate out as many land uses as the 2007 Warwick DC SPD.  Instead, it is observed that parking standards are commonly proposed for “indoor and outdoor sports facilities”.  Given that there is little evidence to corroborate or otherwise the existing standards, it is instead proposed that a broader standard is proposed for indoor and outdoor sports.  Where specific sports uses are proposed, an applicant may be able to justify higher or lower parking provision than set out within the new standard. </w:t>
            </w:r>
          </w:p>
          <w:p w:rsidR="00416061" w:rsidRPr="00B62679" w:rsidRDefault="00416061" w:rsidP="00E130A1">
            <w:pPr>
              <w:pStyle w:val="ListParagraph"/>
              <w:numPr>
                <w:ilvl w:val="0"/>
                <w:numId w:val="14"/>
              </w:numPr>
            </w:pPr>
            <w:r>
              <w:t>It is proposed that the requirement to consider different elements of a scheme separately will be highlighted within the new SPD.  For example club houses and bars which may be hired need to calculate parking requirements in the relevant use class and factor this into the calculation.</w:t>
            </w:r>
          </w:p>
        </w:tc>
      </w:tr>
      <w:tr w:rsidR="00DA614E" w:rsidTr="00832B53">
        <w:tc>
          <w:tcPr>
            <w:tcW w:w="1291" w:type="dxa"/>
            <w:vMerge w:val="restart"/>
          </w:tcPr>
          <w:p w:rsidR="00DA614E" w:rsidRPr="00B62679" w:rsidRDefault="00DA614E" w:rsidP="00E44865">
            <w:r>
              <w:t>Sui Generis</w:t>
            </w:r>
          </w:p>
        </w:tc>
        <w:tc>
          <w:tcPr>
            <w:tcW w:w="1570" w:type="dxa"/>
          </w:tcPr>
          <w:p w:rsidR="00DA614E" w:rsidRDefault="00DA614E" w:rsidP="00E44865">
            <w:r>
              <w:t>Vehicle repair, garage and spares stores</w:t>
            </w:r>
          </w:p>
        </w:tc>
        <w:tc>
          <w:tcPr>
            <w:tcW w:w="2112" w:type="dxa"/>
          </w:tcPr>
          <w:p w:rsidR="00DA614E" w:rsidRDefault="00DA614E" w:rsidP="00E44865">
            <w:r>
              <w:t>1 space / 20sqm</w:t>
            </w:r>
          </w:p>
        </w:tc>
        <w:tc>
          <w:tcPr>
            <w:tcW w:w="2098" w:type="dxa"/>
          </w:tcPr>
          <w:p w:rsidR="00DA614E" w:rsidRPr="00B62679" w:rsidRDefault="005615B3" w:rsidP="00E44865">
            <w:r>
              <w:t xml:space="preserve">1/20 </w:t>
            </w:r>
            <w:proofErr w:type="spellStart"/>
            <w:r>
              <w:t>sqm</w:t>
            </w:r>
            <w:proofErr w:type="spellEnd"/>
          </w:p>
        </w:tc>
        <w:tc>
          <w:tcPr>
            <w:tcW w:w="7103" w:type="dxa"/>
          </w:tcPr>
          <w:p w:rsidR="00DA614E" w:rsidRPr="00B62679" w:rsidRDefault="004E7F03" w:rsidP="005615B3">
            <w:pPr>
              <w:pStyle w:val="ListParagraph"/>
              <w:numPr>
                <w:ilvl w:val="0"/>
                <w:numId w:val="24"/>
              </w:numPr>
            </w:pPr>
            <w:r>
              <w:t>Some variation in the calculation of parking provision for this land use is evident in the benchmarking exercise.  It is proposed therefore that the existing standard is retained.</w:t>
            </w:r>
          </w:p>
        </w:tc>
      </w:tr>
      <w:tr w:rsidR="00DA614E" w:rsidTr="00832B53">
        <w:tc>
          <w:tcPr>
            <w:tcW w:w="1291" w:type="dxa"/>
            <w:vMerge/>
          </w:tcPr>
          <w:p w:rsidR="00DA614E" w:rsidRPr="00B62679" w:rsidRDefault="00DA614E" w:rsidP="00E44865"/>
        </w:tc>
        <w:tc>
          <w:tcPr>
            <w:tcW w:w="1570" w:type="dxa"/>
          </w:tcPr>
          <w:p w:rsidR="00DA614E" w:rsidRDefault="00DA614E" w:rsidP="00E44865">
            <w:r>
              <w:t>Car sales establishments</w:t>
            </w:r>
          </w:p>
        </w:tc>
        <w:tc>
          <w:tcPr>
            <w:tcW w:w="2112" w:type="dxa"/>
          </w:tcPr>
          <w:p w:rsidR="00DA614E" w:rsidRDefault="00DA614E" w:rsidP="00E44865">
            <w:r>
              <w:t>1 space / 50sqm car display area</w:t>
            </w:r>
          </w:p>
        </w:tc>
        <w:tc>
          <w:tcPr>
            <w:tcW w:w="2098" w:type="dxa"/>
          </w:tcPr>
          <w:p w:rsidR="00DA614E" w:rsidRPr="00B62679" w:rsidRDefault="00556808" w:rsidP="00E44865">
            <w:r>
              <w:t>1 space / 50sqm car display area</w:t>
            </w:r>
          </w:p>
        </w:tc>
        <w:tc>
          <w:tcPr>
            <w:tcW w:w="7103" w:type="dxa"/>
          </w:tcPr>
          <w:p w:rsidR="00DA614E" w:rsidRPr="00B62679" w:rsidRDefault="00DA614E" w:rsidP="00DA614E">
            <w:pPr>
              <w:pStyle w:val="ListParagraph"/>
              <w:numPr>
                <w:ilvl w:val="0"/>
                <w:numId w:val="15"/>
              </w:numPr>
            </w:pPr>
            <w:r>
              <w:t>The benchmarking exercise shows that the WDC 2007 standard is similar to that proposed in new standards by both Nort</w:t>
            </w:r>
            <w:r w:rsidR="005549B4">
              <w:t>hamptonshire and Stratford DC, albeit the later are expressed as a standard or minimum whereas the former is a maximum.</w:t>
            </w:r>
          </w:p>
        </w:tc>
      </w:tr>
      <w:tr w:rsidR="00DA614E" w:rsidTr="00832B53">
        <w:tc>
          <w:tcPr>
            <w:tcW w:w="1291" w:type="dxa"/>
            <w:vMerge/>
          </w:tcPr>
          <w:p w:rsidR="00DA614E" w:rsidRPr="00B62679" w:rsidRDefault="00DA614E" w:rsidP="00E44865"/>
        </w:tc>
        <w:tc>
          <w:tcPr>
            <w:tcW w:w="1570" w:type="dxa"/>
          </w:tcPr>
          <w:p w:rsidR="00DA614E" w:rsidRDefault="00DA614E" w:rsidP="00E44865">
            <w:r>
              <w:t>Exhaust and tyre centres</w:t>
            </w:r>
          </w:p>
        </w:tc>
        <w:tc>
          <w:tcPr>
            <w:tcW w:w="2112" w:type="dxa"/>
          </w:tcPr>
          <w:p w:rsidR="00DA614E" w:rsidRDefault="00DA614E" w:rsidP="00E44865">
            <w:r>
              <w:t>1 space / 0.3-0.5 bays</w:t>
            </w:r>
          </w:p>
        </w:tc>
        <w:tc>
          <w:tcPr>
            <w:tcW w:w="2098" w:type="dxa"/>
          </w:tcPr>
          <w:p w:rsidR="00DA614E" w:rsidRPr="00B62679" w:rsidRDefault="004E7F03" w:rsidP="00E44865">
            <w:r>
              <w:t>1 space / 0.3-0.5 bays</w:t>
            </w:r>
          </w:p>
        </w:tc>
        <w:tc>
          <w:tcPr>
            <w:tcW w:w="7103" w:type="dxa"/>
          </w:tcPr>
          <w:p w:rsidR="00DA614E" w:rsidRPr="00B62679" w:rsidRDefault="004E7F03" w:rsidP="004E7F03">
            <w:pPr>
              <w:pStyle w:val="ListParagraph"/>
              <w:numPr>
                <w:ilvl w:val="0"/>
                <w:numId w:val="15"/>
              </w:numPr>
            </w:pPr>
            <w:r>
              <w:t>Other parking standards compared do not regularly distinguish this land use.  Proposed to retain as is.</w:t>
            </w:r>
          </w:p>
        </w:tc>
      </w:tr>
    </w:tbl>
    <w:p w:rsidR="00C924F7" w:rsidRDefault="00C924F7" w:rsidP="00C924F7">
      <w:pPr>
        <w:rPr>
          <w:b/>
        </w:rPr>
      </w:pPr>
      <w:r>
        <w:rPr>
          <w:b/>
        </w:rPr>
        <w:lastRenderedPageBreak/>
        <w:t xml:space="preserve">Non-residential </w:t>
      </w:r>
      <w:r w:rsidRPr="0043789C">
        <w:rPr>
          <w:b/>
        </w:rPr>
        <w:t xml:space="preserve">Cycle Parking </w:t>
      </w:r>
      <w:r>
        <w:rPr>
          <w:b/>
        </w:rPr>
        <w:t xml:space="preserve">- </w:t>
      </w:r>
      <w:r w:rsidRPr="0043789C">
        <w:rPr>
          <w:b/>
        </w:rPr>
        <w:t>benchmarking</w:t>
      </w:r>
    </w:p>
    <w:p w:rsidR="00C924F7" w:rsidRDefault="00147BEE" w:rsidP="00147BEE">
      <w:pPr>
        <w:ind w:left="340" w:hanging="340"/>
      </w:pPr>
      <w:r>
        <w:t xml:space="preserve">3.13 </w:t>
      </w:r>
      <w:r w:rsidR="00C924F7">
        <w:t>Warwick DC 2007 cycle parking standards are minimums as they are in all standards reviewed from elsewhere.  Cycle parking standards are compared in the benchmarking table below.</w:t>
      </w:r>
      <w:r w:rsidR="00D83EEC">
        <w:t xml:space="preserve">  It should be noted that land uses in the existing parking SPD (2007) are not the same for car parking and cycle parking.  Instead fewer land uses are specified and tailored more to the use class.</w:t>
      </w:r>
    </w:p>
    <w:tbl>
      <w:tblPr>
        <w:tblStyle w:val="TableGrid"/>
        <w:tblW w:w="0" w:type="auto"/>
        <w:tblLook w:val="04A0" w:firstRow="1" w:lastRow="0" w:firstColumn="1" w:lastColumn="0" w:noHBand="0" w:noVBand="1"/>
      </w:tblPr>
      <w:tblGrid>
        <w:gridCol w:w="1798"/>
        <w:gridCol w:w="1996"/>
        <w:gridCol w:w="1930"/>
        <w:gridCol w:w="2008"/>
        <w:gridCol w:w="2544"/>
        <w:gridCol w:w="1930"/>
        <w:gridCol w:w="1968"/>
      </w:tblGrid>
      <w:tr w:rsidR="00C924F7" w:rsidTr="00023B21">
        <w:trPr>
          <w:tblHeader/>
        </w:trPr>
        <w:tc>
          <w:tcPr>
            <w:tcW w:w="2024" w:type="dxa"/>
            <w:vMerge w:val="restart"/>
          </w:tcPr>
          <w:p w:rsidR="00C924F7" w:rsidRPr="00857BA4" w:rsidRDefault="00C924F7" w:rsidP="00023B21">
            <w:pPr>
              <w:jc w:val="center"/>
              <w:rPr>
                <w:b/>
              </w:rPr>
            </w:pPr>
            <w:r>
              <w:rPr>
                <w:b/>
              </w:rPr>
              <w:t>Use class</w:t>
            </w:r>
          </w:p>
        </w:tc>
        <w:tc>
          <w:tcPr>
            <w:tcW w:w="2025" w:type="dxa"/>
            <w:vMerge w:val="restart"/>
          </w:tcPr>
          <w:p w:rsidR="00C924F7" w:rsidRPr="00857BA4" w:rsidRDefault="00C924F7" w:rsidP="00023B21">
            <w:pPr>
              <w:jc w:val="center"/>
              <w:rPr>
                <w:b/>
              </w:rPr>
            </w:pPr>
            <w:r w:rsidRPr="00857BA4">
              <w:rPr>
                <w:b/>
              </w:rPr>
              <w:t>Subcategory</w:t>
            </w:r>
          </w:p>
        </w:tc>
        <w:tc>
          <w:tcPr>
            <w:tcW w:w="2025" w:type="dxa"/>
            <w:vMerge w:val="restart"/>
          </w:tcPr>
          <w:p w:rsidR="00C924F7" w:rsidRPr="00857BA4" w:rsidRDefault="00C924F7" w:rsidP="00023B21">
            <w:pPr>
              <w:jc w:val="center"/>
              <w:rPr>
                <w:b/>
              </w:rPr>
            </w:pPr>
            <w:r w:rsidRPr="00857BA4">
              <w:rPr>
                <w:b/>
              </w:rPr>
              <w:t xml:space="preserve">Warwick </w:t>
            </w:r>
            <w:r>
              <w:rPr>
                <w:b/>
              </w:rPr>
              <w:t xml:space="preserve"> (2007)</w:t>
            </w:r>
            <w:r w:rsidRPr="00857BA4">
              <w:rPr>
                <w:b/>
              </w:rPr>
              <w:t>– MINIMUM standard</w:t>
            </w:r>
          </w:p>
        </w:tc>
        <w:tc>
          <w:tcPr>
            <w:tcW w:w="2025" w:type="dxa"/>
            <w:vMerge w:val="restart"/>
          </w:tcPr>
          <w:p w:rsidR="00C924F7" w:rsidRPr="00857BA4" w:rsidRDefault="00C924F7" w:rsidP="00023B21">
            <w:pPr>
              <w:jc w:val="center"/>
              <w:rPr>
                <w:b/>
              </w:rPr>
            </w:pPr>
            <w:r w:rsidRPr="00857BA4">
              <w:rPr>
                <w:b/>
              </w:rPr>
              <w:t>Northamptonshire MINIMUM (2016)</w:t>
            </w:r>
          </w:p>
        </w:tc>
        <w:tc>
          <w:tcPr>
            <w:tcW w:w="2544" w:type="dxa"/>
            <w:vMerge w:val="restart"/>
          </w:tcPr>
          <w:p w:rsidR="00C924F7" w:rsidRPr="00857BA4" w:rsidRDefault="00C924F7" w:rsidP="00023B21">
            <w:pPr>
              <w:jc w:val="center"/>
              <w:rPr>
                <w:b/>
              </w:rPr>
            </w:pPr>
            <w:r w:rsidRPr="00857BA4">
              <w:rPr>
                <w:b/>
              </w:rPr>
              <w:t>Stratford upon Avon (2007) MINIMUM</w:t>
            </w:r>
          </w:p>
        </w:tc>
        <w:tc>
          <w:tcPr>
            <w:tcW w:w="4050" w:type="dxa"/>
            <w:gridSpan w:val="2"/>
          </w:tcPr>
          <w:p w:rsidR="00C924F7" w:rsidRPr="00066916" w:rsidRDefault="00C924F7" w:rsidP="00023B21">
            <w:pPr>
              <w:jc w:val="center"/>
              <w:rPr>
                <w:b/>
              </w:rPr>
            </w:pPr>
            <w:r w:rsidRPr="00066916">
              <w:rPr>
                <w:b/>
              </w:rPr>
              <w:t>Rugby Local Plan – Submission document (MINIMUM)</w:t>
            </w:r>
          </w:p>
        </w:tc>
      </w:tr>
      <w:tr w:rsidR="00C924F7" w:rsidTr="00023B21">
        <w:tc>
          <w:tcPr>
            <w:tcW w:w="2024" w:type="dxa"/>
            <w:vMerge/>
          </w:tcPr>
          <w:p w:rsidR="00C924F7" w:rsidRPr="00857BA4" w:rsidRDefault="00C924F7" w:rsidP="00023B21">
            <w:pPr>
              <w:jc w:val="center"/>
              <w:rPr>
                <w:b/>
              </w:rPr>
            </w:pPr>
          </w:p>
        </w:tc>
        <w:tc>
          <w:tcPr>
            <w:tcW w:w="2025" w:type="dxa"/>
            <w:vMerge/>
          </w:tcPr>
          <w:p w:rsidR="00C924F7" w:rsidRPr="00857BA4" w:rsidRDefault="00C924F7" w:rsidP="00023B21">
            <w:pPr>
              <w:jc w:val="center"/>
              <w:rPr>
                <w:b/>
              </w:rPr>
            </w:pPr>
          </w:p>
        </w:tc>
        <w:tc>
          <w:tcPr>
            <w:tcW w:w="2025" w:type="dxa"/>
            <w:vMerge/>
          </w:tcPr>
          <w:p w:rsidR="00C924F7" w:rsidRPr="00857BA4" w:rsidRDefault="00C924F7" w:rsidP="00023B21">
            <w:pPr>
              <w:jc w:val="center"/>
              <w:rPr>
                <w:b/>
              </w:rPr>
            </w:pPr>
          </w:p>
        </w:tc>
        <w:tc>
          <w:tcPr>
            <w:tcW w:w="2025" w:type="dxa"/>
            <w:vMerge/>
          </w:tcPr>
          <w:p w:rsidR="00C924F7" w:rsidRPr="00857BA4" w:rsidRDefault="00C924F7" w:rsidP="00023B21">
            <w:pPr>
              <w:jc w:val="center"/>
              <w:rPr>
                <w:b/>
              </w:rPr>
            </w:pPr>
          </w:p>
        </w:tc>
        <w:tc>
          <w:tcPr>
            <w:tcW w:w="2544" w:type="dxa"/>
            <w:vMerge/>
          </w:tcPr>
          <w:p w:rsidR="00C924F7" w:rsidRPr="00857BA4" w:rsidRDefault="00C924F7" w:rsidP="00023B21">
            <w:pPr>
              <w:jc w:val="center"/>
              <w:rPr>
                <w:b/>
              </w:rPr>
            </w:pPr>
          </w:p>
        </w:tc>
        <w:tc>
          <w:tcPr>
            <w:tcW w:w="2025" w:type="dxa"/>
          </w:tcPr>
          <w:p w:rsidR="00C924F7" w:rsidRDefault="00C924F7" w:rsidP="00023B21">
            <w:r>
              <w:t>Long stay - staff</w:t>
            </w:r>
          </w:p>
        </w:tc>
        <w:tc>
          <w:tcPr>
            <w:tcW w:w="2025" w:type="dxa"/>
          </w:tcPr>
          <w:p w:rsidR="00C924F7" w:rsidRDefault="00C924F7" w:rsidP="00023B21">
            <w:r>
              <w:t>Short stay - visitors</w:t>
            </w:r>
          </w:p>
        </w:tc>
      </w:tr>
      <w:tr w:rsidR="00C924F7" w:rsidTr="00023B21">
        <w:tc>
          <w:tcPr>
            <w:tcW w:w="2024" w:type="dxa"/>
          </w:tcPr>
          <w:p w:rsidR="00C924F7" w:rsidRDefault="00C924F7" w:rsidP="00023B21">
            <w:r>
              <w:t>A1</w:t>
            </w:r>
          </w:p>
        </w:tc>
        <w:tc>
          <w:tcPr>
            <w:tcW w:w="2025" w:type="dxa"/>
          </w:tcPr>
          <w:p w:rsidR="00C924F7" w:rsidRDefault="00C924F7" w:rsidP="00023B21">
            <w:r>
              <w:t xml:space="preserve">Food and non-food </w:t>
            </w:r>
          </w:p>
        </w:tc>
        <w:tc>
          <w:tcPr>
            <w:tcW w:w="2025" w:type="dxa"/>
          </w:tcPr>
          <w:p w:rsidR="00C924F7" w:rsidRDefault="00C924F7" w:rsidP="00023B21">
            <w:r>
              <w:t>1/150sq.m</w:t>
            </w:r>
          </w:p>
        </w:tc>
        <w:tc>
          <w:tcPr>
            <w:tcW w:w="2025" w:type="dxa"/>
          </w:tcPr>
          <w:p w:rsidR="00C924F7" w:rsidRDefault="00C924F7" w:rsidP="00023B21">
            <w:r>
              <w:t>1/200sq.m for staff and 1/200sq.m for customers</w:t>
            </w:r>
          </w:p>
        </w:tc>
        <w:tc>
          <w:tcPr>
            <w:tcW w:w="2544" w:type="dxa"/>
          </w:tcPr>
          <w:p w:rsidR="00C924F7" w:rsidRDefault="00C924F7" w:rsidP="00023B21">
            <w:r>
              <w:t>1/200sq.m</w:t>
            </w:r>
          </w:p>
        </w:tc>
        <w:tc>
          <w:tcPr>
            <w:tcW w:w="2025" w:type="dxa"/>
          </w:tcPr>
          <w:p w:rsidR="00C924F7" w:rsidRDefault="00C924F7" w:rsidP="00023B21">
            <w:r>
              <w:t>Greater of 1/6 staff or 1/300sq.m</w:t>
            </w:r>
          </w:p>
        </w:tc>
        <w:tc>
          <w:tcPr>
            <w:tcW w:w="2025" w:type="dxa"/>
          </w:tcPr>
          <w:p w:rsidR="00C924F7" w:rsidRDefault="00C924F7" w:rsidP="00023B21">
            <w:r>
              <w:t>1/200sq.m</w:t>
            </w:r>
          </w:p>
        </w:tc>
      </w:tr>
      <w:tr w:rsidR="00C924F7" w:rsidTr="00023B21">
        <w:tc>
          <w:tcPr>
            <w:tcW w:w="2024" w:type="dxa"/>
          </w:tcPr>
          <w:p w:rsidR="00C924F7" w:rsidRDefault="00C924F7" w:rsidP="00023B21">
            <w:r>
              <w:t>A2</w:t>
            </w:r>
          </w:p>
        </w:tc>
        <w:tc>
          <w:tcPr>
            <w:tcW w:w="2025" w:type="dxa"/>
          </w:tcPr>
          <w:p w:rsidR="00C924F7" w:rsidRDefault="00C924F7" w:rsidP="00023B21">
            <w:r>
              <w:t>Financial and Professional Services</w:t>
            </w:r>
          </w:p>
        </w:tc>
        <w:tc>
          <w:tcPr>
            <w:tcW w:w="2025" w:type="dxa"/>
          </w:tcPr>
          <w:p w:rsidR="00C924F7" w:rsidRDefault="00C924F7" w:rsidP="00023B21">
            <w:r>
              <w:t>1/150sq.m</w:t>
            </w:r>
          </w:p>
        </w:tc>
        <w:tc>
          <w:tcPr>
            <w:tcW w:w="2025" w:type="dxa"/>
          </w:tcPr>
          <w:p w:rsidR="00C924F7" w:rsidRDefault="00C924F7" w:rsidP="00023B21">
            <w:r>
              <w:t>1/100sq.m for staff + 1/200sq.m for customers</w:t>
            </w:r>
          </w:p>
        </w:tc>
        <w:tc>
          <w:tcPr>
            <w:tcW w:w="2544" w:type="dxa"/>
          </w:tcPr>
          <w:p w:rsidR="00C924F7" w:rsidRDefault="00C924F7" w:rsidP="00023B21">
            <w:r>
              <w:t>1/200sq.m</w:t>
            </w:r>
          </w:p>
        </w:tc>
        <w:tc>
          <w:tcPr>
            <w:tcW w:w="2025" w:type="dxa"/>
          </w:tcPr>
          <w:p w:rsidR="00C924F7" w:rsidRDefault="00C924F7" w:rsidP="00023B21">
            <w:r>
              <w:t>Greater of 1/6 staff or 1/300sq.m</w:t>
            </w:r>
          </w:p>
        </w:tc>
        <w:tc>
          <w:tcPr>
            <w:tcW w:w="2025" w:type="dxa"/>
          </w:tcPr>
          <w:p w:rsidR="00C924F7" w:rsidRDefault="00C924F7" w:rsidP="00023B21">
            <w:r>
              <w:t>1/200sq.m</w:t>
            </w:r>
          </w:p>
        </w:tc>
      </w:tr>
      <w:tr w:rsidR="00C924F7" w:rsidTr="00023B21">
        <w:tc>
          <w:tcPr>
            <w:tcW w:w="2024" w:type="dxa"/>
          </w:tcPr>
          <w:p w:rsidR="00C924F7" w:rsidRDefault="00C924F7" w:rsidP="00023B21">
            <w:r>
              <w:t>A3</w:t>
            </w:r>
          </w:p>
        </w:tc>
        <w:tc>
          <w:tcPr>
            <w:tcW w:w="2025" w:type="dxa"/>
          </w:tcPr>
          <w:p w:rsidR="00C924F7" w:rsidRDefault="00C924F7" w:rsidP="00023B21">
            <w:r>
              <w:t>Restaurants and cafes</w:t>
            </w:r>
          </w:p>
        </w:tc>
        <w:tc>
          <w:tcPr>
            <w:tcW w:w="2025" w:type="dxa"/>
          </w:tcPr>
          <w:p w:rsidR="00C924F7" w:rsidRDefault="00C924F7" w:rsidP="00023B21">
            <w:r>
              <w:t>1/150sq.m</w:t>
            </w:r>
          </w:p>
        </w:tc>
        <w:tc>
          <w:tcPr>
            <w:tcW w:w="2025" w:type="dxa"/>
          </w:tcPr>
          <w:p w:rsidR="00C924F7" w:rsidRDefault="00C924F7" w:rsidP="00023B21">
            <w:r>
              <w:t>1/60sq.m for staff + 1/60sq.m for customers</w:t>
            </w:r>
          </w:p>
        </w:tc>
        <w:tc>
          <w:tcPr>
            <w:tcW w:w="2544" w:type="dxa"/>
          </w:tcPr>
          <w:p w:rsidR="00C924F7" w:rsidRDefault="00C924F7" w:rsidP="00023B21">
            <w:r>
              <w:t>1/60sq.m (excluding associated residential accommodation)</w:t>
            </w:r>
          </w:p>
        </w:tc>
        <w:tc>
          <w:tcPr>
            <w:tcW w:w="2025" w:type="dxa"/>
          </w:tcPr>
          <w:p w:rsidR="00C924F7" w:rsidRDefault="00C924F7" w:rsidP="00023B21">
            <w:r>
              <w:t>Greater of 1/6 staff or 1/40sq.m</w:t>
            </w:r>
          </w:p>
        </w:tc>
        <w:tc>
          <w:tcPr>
            <w:tcW w:w="2025" w:type="dxa"/>
          </w:tcPr>
          <w:p w:rsidR="00C924F7" w:rsidRDefault="00C924F7" w:rsidP="00023B21">
            <w:r>
              <w:t>1/20sq.m</w:t>
            </w:r>
          </w:p>
        </w:tc>
      </w:tr>
      <w:tr w:rsidR="00C924F7" w:rsidTr="00023B21">
        <w:tc>
          <w:tcPr>
            <w:tcW w:w="2024" w:type="dxa"/>
          </w:tcPr>
          <w:p w:rsidR="00C924F7" w:rsidRDefault="00C924F7" w:rsidP="00023B21">
            <w:r>
              <w:t>A4</w:t>
            </w:r>
          </w:p>
        </w:tc>
        <w:tc>
          <w:tcPr>
            <w:tcW w:w="2025" w:type="dxa"/>
          </w:tcPr>
          <w:p w:rsidR="00C924F7" w:rsidRDefault="00C924F7" w:rsidP="00023B21">
            <w:r>
              <w:t>Drinking establishments</w:t>
            </w:r>
          </w:p>
        </w:tc>
        <w:tc>
          <w:tcPr>
            <w:tcW w:w="2025" w:type="dxa"/>
          </w:tcPr>
          <w:p w:rsidR="00C924F7" w:rsidRDefault="00C924F7" w:rsidP="00023B21">
            <w:r>
              <w:t>1/150sq.m</w:t>
            </w:r>
          </w:p>
        </w:tc>
        <w:tc>
          <w:tcPr>
            <w:tcW w:w="2025" w:type="dxa"/>
          </w:tcPr>
          <w:p w:rsidR="00C924F7" w:rsidRDefault="00C924F7" w:rsidP="00023B21">
            <w:r>
              <w:t>1/60sq.m for staff + 1/60sq.m for customers</w:t>
            </w:r>
          </w:p>
        </w:tc>
        <w:tc>
          <w:tcPr>
            <w:tcW w:w="2544" w:type="dxa"/>
          </w:tcPr>
          <w:p w:rsidR="00C924F7" w:rsidRDefault="00C924F7" w:rsidP="00023B21">
            <w:r>
              <w:t>1/60sq.m (excluding associated residential accommodation)</w:t>
            </w:r>
          </w:p>
        </w:tc>
        <w:tc>
          <w:tcPr>
            <w:tcW w:w="2025" w:type="dxa"/>
          </w:tcPr>
          <w:p w:rsidR="00C924F7" w:rsidRDefault="00C924F7" w:rsidP="00023B21">
            <w:pPr>
              <w:jc w:val="center"/>
            </w:pPr>
            <w:r>
              <w:t>-</w:t>
            </w:r>
          </w:p>
        </w:tc>
        <w:tc>
          <w:tcPr>
            <w:tcW w:w="2025" w:type="dxa"/>
          </w:tcPr>
          <w:p w:rsidR="00C924F7" w:rsidRDefault="00C924F7" w:rsidP="00023B21">
            <w:pPr>
              <w:jc w:val="center"/>
            </w:pPr>
            <w:r>
              <w:t>-</w:t>
            </w:r>
          </w:p>
        </w:tc>
      </w:tr>
      <w:tr w:rsidR="00C924F7" w:rsidTr="00023B21">
        <w:tc>
          <w:tcPr>
            <w:tcW w:w="2024" w:type="dxa"/>
          </w:tcPr>
          <w:p w:rsidR="00C924F7" w:rsidRDefault="00C924F7" w:rsidP="00023B21">
            <w:r>
              <w:t>A5</w:t>
            </w:r>
          </w:p>
        </w:tc>
        <w:tc>
          <w:tcPr>
            <w:tcW w:w="2025" w:type="dxa"/>
          </w:tcPr>
          <w:p w:rsidR="00C924F7" w:rsidRDefault="00C924F7" w:rsidP="00023B21">
            <w:r>
              <w:t>Hot food takeaways</w:t>
            </w:r>
          </w:p>
        </w:tc>
        <w:tc>
          <w:tcPr>
            <w:tcW w:w="2025" w:type="dxa"/>
          </w:tcPr>
          <w:p w:rsidR="00C924F7" w:rsidRDefault="00C924F7" w:rsidP="00023B21">
            <w:r>
              <w:t>1/150sq.m</w:t>
            </w:r>
          </w:p>
        </w:tc>
        <w:tc>
          <w:tcPr>
            <w:tcW w:w="2025" w:type="dxa"/>
          </w:tcPr>
          <w:p w:rsidR="00C924F7" w:rsidRDefault="00C924F7" w:rsidP="00023B21">
            <w:r>
              <w:t>1/60sq.m for staff + 1/60sq.m for customers</w:t>
            </w:r>
          </w:p>
        </w:tc>
        <w:tc>
          <w:tcPr>
            <w:tcW w:w="2544" w:type="dxa"/>
          </w:tcPr>
          <w:p w:rsidR="00C924F7" w:rsidRDefault="00C924F7" w:rsidP="00023B21">
            <w:r>
              <w:t>1/60sq.m (excluding associated residential accommodation)</w:t>
            </w:r>
          </w:p>
        </w:tc>
        <w:tc>
          <w:tcPr>
            <w:tcW w:w="2025" w:type="dxa"/>
          </w:tcPr>
          <w:p w:rsidR="00C924F7" w:rsidRDefault="00C924F7" w:rsidP="00023B21">
            <w:pPr>
              <w:jc w:val="center"/>
            </w:pPr>
            <w:r>
              <w:t>-</w:t>
            </w:r>
          </w:p>
        </w:tc>
        <w:tc>
          <w:tcPr>
            <w:tcW w:w="2025" w:type="dxa"/>
          </w:tcPr>
          <w:p w:rsidR="00C924F7" w:rsidRDefault="00C924F7" w:rsidP="00023B21">
            <w:pPr>
              <w:jc w:val="center"/>
            </w:pPr>
            <w:r>
              <w:t>-</w:t>
            </w:r>
          </w:p>
        </w:tc>
      </w:tr>
      <w:tr w:rsidR="00C924F7" w:rsidTr="00023B21">
        <w:tc>
          <w:tcPr>
            <w:tcW w:w="2024" w:type="dxa"/>
          </w:tcPr>
          <w:p w:rsidR="00C924F7" w:rsidRDefault="00C924F7" w:rsidP="00023B21">
            <w:r>
              <w:t>B1</w:t>
            </w:r>
          </w:p>
        </w:tc>
        <w:tc>
          <w:tcPr>
            <w:tcW w:w="2025" w:type="dxa"/>
          </w:tcPr>
          <w:p w:rsidR="00C924F7" w:rsidRDefault="00C924F7" w:rsidP="00023B21">
            <w:r>
              <w:t>Business (offices, research and development and light industry)</w:t>
            </w:r>
          </w:p>
        </w:tc>
        <w:tc>
          <w:tcPr>
            <w:tcW w:w="2025" w:type="dxa"/>
          </w:tcPr>
          <w:p w:rsidR="00C924F7" w:rsidRDefault="00C924F7" w:rsidP="00023B21">
            <w:r>
              <w:t>1/200sq.m</w:t>
            </w:r>
          </w:p>
        </w:tc>
        <w:tc>
          <w:tcPr>
            <w:tcW w:w="2025" w:type="dxa"/>
          </w:tcPr>
          <w:p w:rsidR="00C924F7" w:rsidRDefault="00C924F7" w:rsidP="00023B21">
            <w:r>
              <w:t>1/100sq.m for staff + 1/200sq.m for customers</w:t>
            </w:r>
          </w:p>
        </w:tc>
        <w:tc>
          <w:tcPr>
            <w:tcW w:w="2544" w:type="dxa"/>
          </w:tcPr>
          <w:p w:rsidR="00C924F7" w:rsidRDefault="00C924F7" w:rsidP="00023B21">
            <w:r>
              <w:t>1/200sq.m</w:t>
            </w:r>
          </w:p>
        </w:tc>
        <w:tc>
          <w:tcPr>
            <w:tcW w:w="2025" w:type="dxa"/>
          </w:tcPr>
          <w:p w:rsidR="00C924F7" w:rsidRDefault="00C924F7" w:rsidP="00023B21">
            <w:r>
              <w:t>1/150sq.m (B1(a)) or 1/250sq.m (B1(b) and (c))</w:t>
            </w:r>
          </w:p>
        </w:tc>
        <w:tc>
          <w:tcPr>
            <w:tcW w:w="2025" w:type="dxa"/>
          </w:tcPr>
          <w:p w:rsidR="00C924F7" w:rsidRDefault="00C924F7" w:rsidP="00023B21">
            <w:r>
              <w:t>1/500sq.m</w:t>
            </w:r>
          </w:p>
        </w:tc>
      </w:tr>
      <w:tr w:rsidR="00C924F7" w:rsidTr="00023B21">
        <w:tc>
          <w:tcPr>
            <w:tcW w:w="2024" w:type="dxa"/>
          </w:tcPr>
          <w:p w:rsidR="00C924F7" w:rsidRDefault="00C924F7" w:rsidP="00023B21">
            <w:r>
              <w:t>B2</w:t>
            </w:r>
          </w:p>
        </w:tc>
        <w:tc>
          <w:tcPr>
            <w:tcW w:w="2025" w:type="dxa"/>
          </w:tcPr>
          <w:p w:rsidR="00C924F7" w:rsidRDefault="00C924F7" w:rsidP="00023B21">
            <w:r>
              <w:t>General industry</w:t>
            </w:r>
          </w:p>
        </w:tc>
        <w:tc>
          <w:tcPr>
            <w:tcW w:w="2025" w:type="dxa"/>
          </w:tcPr>
          <w:p w:rsidR="00C924F7" w:rsidRDefault="00C924F7" w:rsidP="00023B21">
            <w:r>
              <w:t>1/500sq.m</w:t>
            </w:r>
          </w:p>
        </w:tc>
        <w:tc>
          <w:tcPr>
            <w:tcW w:w="2025" w:type="dxa"/>
          </w:tcPr>
          <w:p w:rsidR="00C924F7" w:rsidRDefault="00C924F7" w:rsidP="00023B21">
            <w:r>
              <w:t>1/200sq.m for staff + 1/200sq.m for customers</w:t>
            </w:r>
          </w:p>
        </w:tc>
        <w:tc>
          <w:tcPr>
            <w:tcW w:w="2544" w:type="dxa"/>
          </w:tcPr>
          <w:p w:rsidR="00C924F7" w:rsidRDefault="00C924F7" w:rsidP="00023B21">
            <w:r>
              <w:t>1/500sq.m</w:t>
            </w:r>
          </w:p>
        </w:tc>
        <w:tc>
          <w:tcPr>
            <w:tcW w:w="2025" w:type="dxa"/>
          </w:tcPr>
          <w:p w:rsidR="00C924F7" w:rsidRDefault="00C924F7" w:rsidP="00023B21">
            <w:r>
              <w:t>1/350sq.m</w:t>
            </w:r>
          </w:p>
        </w:tc>
        <w:tc>
          <w:tcPr>
            <w:tcW w:w="2025" w:type="dxa"/>
          </w:tcPr>
          <w:p w:rsidR="00C924F7" w:rsidRDefault="00C924F7" w:rsidP="00023B21">
            <w:r>
              <w:t>1/500sq.m</w:t>
            </w:r>
          </w:p>
        </w:tc>
      </w:tr>
      <w:tr w:rsidR="00C924F7" w:rsidTr="00023B21">
        <w:tc>
          <w:tcPr>
            <w:tcW w:w="2024" w:type="dxa"/>
          </w:tcPr>
          <w:p w:rsidR="00C924F7" w:rsidRDefault="00C924F7" w:rsidP="00023B21">
            <w:r>
              <w:t>B8</w:t>
            </w:r>
          </w:p>
        </w:tc>
        <w:tc>
          <w:tcPr>
            <w:tcW w:w="2025" w:type="dxa"/>
          </w:tcPr>
          <w:p w:rsidR="00C924F7" w:rsidRDefault="00C924F7" w:rsidP="00023B21">
            <w:r>
              <w:t>Storage and distribution</w:t>
            </w:r>
          </w:p>
        </w:tc>
        <w:tc>
          <w:tcPr>
            <w:tcW w:w="2025" w:type="dxa"/>
          </w:tcPr>
          <w:p w:rsidR="00C924F7" w:rsidRDefault="00C924F7" w:rsidP="00023B21">
            <w:r>
              <w:t>1/850sq.m</w:t>
            </w:r>
          </w:p>
        </w:tc>
        <w:tc>
          <w:tcPr>
            <w:tcW w:w="2025" w:type="dxa"/>
          </w:tcPr>
          <w:p w:rsidR="00C924F7" w:rsidRDefault="00C924F7" w:rsidP="00023B21">
            <w:r>
              <w:t xml:space="preserve">1/500sq.m for staff + 1/1000sq.m for </w:t>
            </w:r>
            <w:r>
              <w:lastRenderedPageBreak/>
              <w:t>customers</w:t>
            </w:r>
          </w:p>
        </w:tc>
        <w:tc>
          <w:tcPr>
            <w:tcW w:w="2544" w:type="dxa"/>
          </w:tcPr>
          <w:p w:rsidR="00C924F7" w:rsidRDefault="00C924F7" w:rsidP="00023B21">
            <w:r>
              <w:lastRenderedPageBreak/>
              <w:t>1/1000sq.m</w:t>
            </w:r>
          </w:p>
        </w:tc>
        <w:tc>
          <w:tcPr>
            <w:tcW w:w="2025" w:type="dxa"/>
          </w:tcPr>
          <w:p w:rsidR="00C924F7" w:rsidRDefault="00C924F7" w:rsidP="00023B21">
            <w:r>
              <w:t>1/500sq.m</w:t>
            </w:r>
          </w:p>
        </w:tc>
        <w:tc>
          <w:tcPr>
            <w:tcW w:w="2025" w:type="dxa"/>
          </w:tcPr>
          <w:p w:rsidR="00C924F7" w:rsidRDefault="00C924F7" w:rsidP="00023B21">
            <w:r>
              <w:t>1/500sq.m</w:t>
            </w:r>
          </w:p>
        </w:tc>
      </w:tr>
      <w:tr w:rsidR="00C924F7" w:rsidTr="00023B21">
        <w:tc>
          <w:tcPr>
            <w:tcW w:w="2024" w:type="dxa"/>
          </w:tcPr>
          <w:p w:rsidR="00C924F7" w:rsidRDefault="00C924F7" w:rsidP="00023B21">
            <w:r>
              <w:lastRenderedPageBreak/>
              <w:t>C1</w:t>
            </w:r>
          </w:p>
        </w:tc>
        <w:tc>
          <w:tcPr>
            <w:tcW w:w="2025" w:type="dxa"/>
          </w:tcPr>
          <w:p w:rsidR="00C924F7" w:rsidRDefault="00C924F7" w:rsidP="00023B21">
            <w:r>
              <w:t>Hotels</w:t>
            </w:r>
          </w:p>
        </w:tc>
        <w:tc>
          <w:tcPr>
            <w:tcW w:w="2025" w:type="dxa"/>
          </w:tcPr>
          <w:p w:rsidR="00C924F7" w:rsidRDefault="00C924F7" w:rsidP="00023B21">
            <w:r>
              <w:t>1/4bedrooms</w:t>
            </w:r>
          </w:p>
        </w:tc>
        <w:tc>
          <w:tcPr>
            <w:tcW w:w="2025" w:type="dxa"/>
          </w:tcPr>
          <w:p w:rsidR="00C924F7" w:rsidRDefault="00C924F7" w:rsidP="00023B21">
            <w:r>
              <w:t>1/5staff + 1/5bedrooms</w:t>
            </w:r>
          </w:p>
        </w:tc>
        <w:tc>
          <w:tcPr>
            <w:tcW w:w="2544" w:type="dxa"/>
          </w:tcPr>
          <w:p w:rsidR="00C924F7" w:rsidRDefault="00C924F7" w:rsidP="00023B21">
            <w:r>
              <w:t>1/5staff</w:t>
            </w:r>
          </w:p>
          <w:p w:rsidR="00C924F7" w:rsidRDefault="00C924F7" w:rsidP="00023B21">
            <w:r>
              <w:t>1/10 guest rooms</w:t>
            </w:r>
          </w:p>
          <w:p w:rsidR="00C924F7" w:rsidRDefault="00C924F7" w:rsidP="00023B21">
            <w:r>
              <w:t>1/60sq.m restaurant/entertainment area</w:t>
            </w:r>
          </w:p>
        </w:tc>
        <w:tc>
          <w:tcPr>
            <w:tcW w:w="2025" w:type="dxa"/>
          </w:tcPr>
          <w:p w:rsidR="00C924F7" w:rsidRDefault="00C924F7" w:rsidP="00023B21">
            <w:r>
              <w:t>1/6 FTE staff</w:t>
            </w:r>
          </w:p>
        </w:tc>
        <w:tc>
          <w:tcPr>
            <w:tcW w:w="2025" w:type="dxa"/>
          </w:tcPr>
          <w:p w:rsidR="00C924F7" w:rsidRDefault="00C924F7" w:rsidP="00023B21">
            <w:r>
              <w:t>1/10 beds</w:t>
            </w:r>
          </w:p>
        </w:tc>
      </w:tr>
      <w:tr w:rsidR="00C924F7" w:rsidTr="00023B21">
        <w:tc>
          <w:tcPr>
            <w:tcW w:w="2024" w:type="dxa"/>
          </w:tcPr>
          <w:p w:rsidR="00C924F7" w:rsidRDefault="00C924F7" w:rsidP="00023B21">
            <w:r>
              <w:t>C2</w:t>
            </w:r>
          </w:p>
        </w:tc>
        <w:tc>
          <w:tcPr>
            <w:tcW w:w="2025" w:type="dxa"/>
          </w:tcPr>
          <w:p w:rsidR="00C924F7" w:rsidRDefault="00C924F7" w:rsidP="00023B21">
            <w:r>
              <w:t>Accommodation for people in need of care (hospitals/care homes/residential institutions)</w:t>
            </w:r>
          </w:p>
        </w:tc>
        <w:tc>
          <w:tcPr>
            <w:tcW w:w="2025" w:type="dxa"/>
          </w:tcPr>
          <w:p w:rsidR="00C924F7" w:rsidRDefault="00C924F7" w:rsidP="00023B21">
            <w:r>
              <w:t>To be considered on own merits</w:t>
            </w:r>
          </w:p>
        </w:tc>
        <w:tc>
          <w:tcPr>
            <w:tcW w:w="2025" w:type="dxa"/>
          </w:tcPr>
          <w:p w:rsidR="00C924F7" w:rsidRDefault="00072BF7" w:rsidP="00072BF7">
            <w:pPr>
              <w:jc w:val="center"/>
            </w:pPr>
            <w:r>
              <w:t>-</w:t>
            </w:r>
          </w:p>
        </w:tc>
        <w:tc>
          <w:tcPr>
            <w:tcW w:w="2544" w:type="dxa"/>
          </w:tcPr>
          <w:p w:rsidR="00C924F7" w:rsidRDefault="00072BF7" w:rsidP="00072BF7">
            <w:pPr>
              <w:jc w:val="center"/>
            </w:pPr>
            <w:r>
              <w:t>-</w:t>
            </w:r>
          </w:p>
        </w:tc>
        <w:tc>
          <w:tcPr>
            <w:tcW w:w="2025" w:type="dxa"/>
          </w:tcPr>
          <w:p w:rsidR="00C924F7" w:rsidRDefault="00C924F7" w:rsidP="00023B21">
            <w:r>
              <w:t>1/6 FTE staff</w:t>
            </w:r>
          </w:p>
        </w:tc>
        <w:tc>
          <w:tcPr>
            <w:tcW w:w="2025" w:type="dxa"/>
          </w:tcPr>
          <w:p w:rsidR="00C924F7" w:rsidRDefault="00C924F7" w:rsidP="00023B21">
            <w:r>
              <w:t>Minimum 2/establishment</w:t>
            </w:r>
          </w:p>
        </w:tc>
      </w:tr>
      <w:tr w:rsidR="00C924F7" w:rsidTr="00023B21">
        <w:tc>
          <w:tcPr>
            <w:tcW w:w="2024" w:type="dxa"/>
            <w:vMerge w:val="restart"/>
          </w:tcPr>
          <w:p w:rsidR="00C924F7" w:rsidRDefault="00C924F7" w:rsidP="00023B21">
            <w:r>
              <w:t>D1</w:t>
            </w:r>
          </w:p>
        </w:tc>
        <w:tc>
          <w:tcPr>
            <w:tcW w:w="2025" w:type="dxa"/>
          </w:tcPr>
          <w:p w:rsidR="00C924F7" w:rsidRDefault="00C924F7" w:rsidP="00023B21">
            <w:r>
              <w:t>Medical</w:t>
            </w:r>
          </w:p>
        </w:tc>
        <w:tc>
          <w:tcPr>
            <w:tcW w:w="2025" w:type="dxa"/>
          </w:tcPr>
          <w:p w:rsidR="00C924F7" w:rsidRDefault="00C924F7" w:rsidP="00023B21">
            <w:r>
              <w:t>1/350sq.m or 1/3consulting rooms</w:t>
            </w:r>
          </w:p>
        </w:tc>
        <w:tc>
          <w:tcPr>
            <w:tcW w:w="2025" w:type="dxa"/>
          </w:tcPr>
          <w:p w:rsidR="00C924F7" w:rsidRDefault="00C924F7" w:rsidP="00023B21">
            <w:r>
              <w:t>1/4staff + 1/consulting room</w:t>
            </w:r>
          </w:p>
        </w:tc>
        <w:tc>
          <w:tcPr>
            <w:tcW w:w="2544" w:type="dxa"/>
          </w:tcPr>
          <w:p w:rsidR="00C924F7" w:rsidRDefault="00C924F7" w:rsidP="00023B21">
            <w:r>
              <w:t>1/3consulting rooms</w:t>
            </w:r>
          </w:p>
        </w:tc>
        <w:tc>
          <w:tcPr>
            <w:tcW w:w="2025" w:type="dxa"/>
          </w:tcPr>
          <w:p w:rsidR="00C924F7" w:rsidRDefault="00C924F7" w:rsidP="00023B21">
            <w:r>
              <w:t>Greater of 1/2consulting rooms or 1/6 staff</w:t>
            </w:r>
          </w:p>
        </w:tc>
        <w:tc>
          <w:tcPr>
            <w:tcW w:w="2025" w:type="dxa"/>
          </w:tcPr>
          <w:p w:rsidR="00C924F7" w:rsidRDefault="00C924F7" w:rsidP="00023B21">
            <w:r>
              <w:t>1/consulting room</w:t>
            </w:r>
          </w:p>
        </w:tc>
      </w:tr>
      <w:tr w:rsidR="00C924F7" w:rsidTr="00023B21">
        <w:tc>
          <w:tcPr>
            <w:tcW w:w="2024" w:type="dxa"/>
            <w:vMerge/>
          </w:tcPr>
          <w:p w:rsidR="00C924F7" w:rsidRDefault="00C924F7" w:rsidP="00023B21"/>
        </w:tc>
        <w:tc>
          <w:tcPr>
            <w:tcW w:w="2025" w:type="dxa"/>
          </w:tcPr>
          <w:p w:rsidR="00C924F7" w:rsidRDefault="00C924F7" w:rsidP="00023B21">
            <w:r>
              <w:t>Nurseries</w:t>
            </w:r>
          </w:p>
        </w:tc>
        <w:tc>
          <w:tcPr>
            <w:tcW w:w="2025" w:type="dxa"/>
          </w:tcPr>
          <w:p w:rsidR="00C924F7" w:rsidRDefault="00C924F7" w:rsidP="00023B21">
            <w:r>
              <w:t>To be considered on own merits</w:t>
            </w:r>
          </w:p>
        </w:tc>
        <w:tc>
          <w:tcPr>
            <w:tcW w:w="2025" w:type="dxa"/>
          </w:tcPr>
          <w:p w:rsidR="00C924F7" w:rsidRDefault="00C924F7" w:rsidP="00023B21">
            <w:r>
              <w:t>1/4staff + 1/10child spaces</w:t>
            </w:r>
          </w:p>
        </w:tc>
        <w:tc>
          <w:tcPr>
            <w:tcW w:w="2544" w:type="dxa"/>
          </w:tcPr>
          <w:p w:rsidR="00C924F7" w:rsidRDefault="00C924F7" w:rsidP="00023B21">
            <w:r>
              <w:t>1/5staff + 1/200sq.m for visitors</w:t>
            </w:r>
          </w:p>
        </w:tc>
        <w:tc>
          <w:tcPr>
            <w:tcW w:w="4050" w:type="dxa"/>
            <w:gridSpan w:val="2"/>
          </w:tcPr>
          <w:p w:rsidR="00C924F7" w:rsidRDefault="00C924F7" w:rsidP="00023B21">
            <w:r>
              <w:t>1/6 FTE staff</w:t>
            </w:r>
          </w:p>
          <w:p w:rsidR="00C924F7" w:rsidRDefault="00C924F7" w:rsidP="00023B21">
            <w:r>
              <w:t>Minimum 2/establishment</w:t>
            </w:r>
          </w:p>
        </w:tc>
      </w:tr>
      <w:tr w:rsidR="00C924F7" w:rsidTr="00023B21">
        <w:tc>
          <w:tcPr>
            <w:tcW w:w="2024" w:type="dxa"/>
            <w:vMerge/>
          </w:tcPr>
          <w:p w:rsidR="00C924F7" w:rsidRDefault="00C924F7" w:rsidP="00023B21"/>
        </w:tc>
        <w:tc>
          <w:tcPr>
            <w:tcW w:w="2025" w:type="dxa"/>
          </w:tcPr>
          <w:p w:rsidR="00C924F7" w:rsidRDefault="00C924F7" w:rsidP="00023B21">
            <w:r>
              <w:t>Educational</w:t>
            </w:r>
          </w:p>
        </w:tc>
        <w:tc>
          <w:tcPr>
            <w:tcW w:w="2025" w:type="dxa"/>
          </w:tcPr>
          <w:p w:rsidR="00C924F7" w:rsidRDefault="00C924F7" w:rsidP="00023B21">
            <w:r>
              <w:t>To be considered on own merits</w:t>
            </w:r>
          </w:p>
        </w:tc>
        <w:tc>
          <w:tcPr>
            <w:tcW w:w="2025" w:type="dxa"/>
          </w:tcPr>
          <w:p w:rsidR="00C924F7" w:rsidRDefault="00C924F7" w:rsidP="00023B21">
            <w:r>
              <w:t>1/4staff + 1/10% of pupils</w:t>
            </w:r>
          </w:p>
        </w:tc>
        <w:tc>
          <w:tcPr>
            <w:tcW w:w="2544" w:type="dxa"/>
          </w:tcPr>
          <w:p w:rsidR="00C924F7" w:rsidRDefault="00C924F7" w:rsidP="00023B21">
            <w:r>
              <w:t>1/5staff + 1/3 students</w:t>
            </w:r>
          </w:p>
        </w:tc>
        <w:tc>
          <w:tcPr>
            <w:tcW w:w="4050" w:type="dxa"/>
            <w:gridSpan w:val="2"/>
          </w:tcPr>
          <w:p w:rsidR="00C924F7" w:rsidRDefault="00C924F7" w:rsidP="00023B21">
            <w:r>
              <w:t>Each case considered on own merits</w:t>
            </w:r>
          </w:p>
        </w:tc>
      </w:tr>
      <w:tr w:rsidR="00C924F7" w:rsidTr="00023B21">
        <w:tc>
          <w:tcPr>
            <w:tcW w:w="2024" w:type="dxa"/>
            <w:vMerge/>
          </w:tcPr>
          <w:p w:rsidR="00C924F7" w:rsidRDefault="00C924F7" w:rsidP="00023B21"/>
        </w:tc>
        <w:tc>
          <w:tcPr>
            <w:tcW w:w="2025" w:type="dxa"/>
          </w:tcPr>
          <w:p w:rsidR="00C924F7" w:rsidRDefault="00C924F7" w:rsidP="00023B21">
            <w:r>
              <w:t>Art galleries, museums, public/exhibition hall, places of worship and libraries</w:t>
            </w:r>
          </w:p>
        </w:tc>
        <w:tc>
          <w:tcPr>
            <w:tcW w:w="2025" w:type="dxa"/>
          </w:tcPr>
          <w:p w:rsidR="00C924F7" w:rsidRDefault="00C924F7" w:rsidP="00023B21">
            <w:r>
              <w:t>To be considered on own merits</w:t>
            </w:r>
          </w:p>
        </w:tc>
        <w:tc>
          <w:tcPr>
            <w:tcW w:w="2025" w:type="dxa"/>
          </w:tcPr>
          <w:p w:rsidR="00C924F7" w:rsidRDefault="00C924F7" w:rsidP="00023B21">
            <w:r>
              <w:t>1/4staff + 1/50sq.m for visitors</w:t>
            </w:r>
          </w:p>
        </w:tc>
        <w:tc>
          <w:tcPr>
            <w:tcW w:w="2544" w:type="dxa"/>
          </w:tcPr>
          <w:p w:rsidR="00C924F7" w:rsidRDefault="00C924F7" w:rsidP="00023B21">
            <w:r>
              <w:t>1/10seats</w:t>
            </w:r>
          </w:p>
        </w:tc>
        <w:tc>
          <w:tcPr>
            <w:tcW w:w="2025" w:type="dxa"/>
          </w:tcPr>
          <w:p w:rsidR="00C924F7" w:rsidRDefault="00C924F7" w:rsidP="00023B21">
            <w:r>
              <w:t>Greater of 1/6 staff or 1/40sq.m (POW)</w:t>
            </w:r>
          </w:p>
          <w:p w:rsidR="00C924F7" w:rsidRDefault="00C924F7" w:rsidP="00023B21"/>
          <w:p w:rsidR="00C924F7" w:rsidRDefault="00C924F7" w:rsidP="00023B21">
            <w:r>
              <w:t>Other land uses considered on own merits</w:t>
            </w:r>
          </w:p>
        </w:tc>
        <w:tc>
          <w:tcPr>
            <w:tcW w:w="2025" w:type="dxa"/>
          </w:tcPr>
          <w:p w:rsidR="00C924F7" w:rsidRDefault="00C924F7" w:rsidP="00023B21">
            <w:r>
              <w:t>1/20sq.m (POW)</w:t>
            </w:r>
          </w:p>
          <w:p w:rsidR="00C924F7" w:rsidRDefault="00C924F7" w:rsidP="00023B21"/>
          <w:p w:rsidR="00C924F7" w:rsidRDefault="00C924F7" w:rsidP="00023B21"/>
          <w:p w:rsidR="00C924F7" w:rsidRDefault="00C924F7" w:rsidP="00023B21">
            <w:r>
              <w:t>Other land uses considered on own merits</w:t>
            </w:r>
          </w:p>
        </w:tc>
      </w:tr>
      <w:tr w:rsidR="00C924F7" w:rsidTr="00023B21">
        <w:tc>
          <w:tcPr>
            <w:tcW w:w="2024" w:type="dxa"/>
          </w:tcPr>
          <w:p w:rsidR="00C924F7" w:rsidRDefault="00C924F7" w:rsidP="00023B21">
            <w:r>
              <w:t>D2</w:t>
            </w:r>
          </w:p>
        </w:tc>
        <w:tc>
          <w:tcPr>
            <w:tcW w:w="2025" w:type="dxa"/>
          </w:tcPr>
          <w:p w:rsidR="00C924F7" w:rsidRDefault="00C924F7" w:rsidP="00023B21">
            <w:r>
              <w:t>Assembly and leisure</w:t>
            </w:r>
          </w:p>
        </w:tc>
        <w:tc>
          <w:tcPr>
            <w:tcW w:w="2025" w:type="dxa"/>
          </w:tcPr>
          <w:p w:rsidR="00C924F7" w:rsidRDefault="00C924F7" w:rsidP="00023B21">
            <w:r>
              <w:t xml:space="preserve">To be considered on own merits, however where 20 or more car park spaces are </w:t>
            </w:r>
            <w:r>
              <w:lastRenderedPageBreak/>
              <w:t>provided there should be 10% cycle parking provision.</w:t>
            </w:r>
          </w:p>
        </w:tc>
        <w:tc>
          <w:tcPr>
            <w:tcW w:w="2025" w:type="dxa"/>
          </w:tcPr>
          <w:p w:rsidR="00C924F7" w:rsidRDefault="00C924F7" w:rsidP="00023B21">
            <w:r>
              <w:lastRenderedPageBreak/>
              <w:t>10 spaces + 1/10 vehicle spaces.</w:t>
            </w:r>
          </w:p>
        </w:tc>
        <w:tc>
          <w:tcPr>
            <w:tcW w:w="2544" w:type="dxa"/>
          </w:tcPr>
          <w:p w:rsidR="00C924F7" w:rsidRDefault="00C924F7" w:rsidP="00023B21">
            <w:r>
              <w:t>1/5staff + 1/100sq.m</w:t>
            </w:r>
          </w:p>
        </w:tc>
        <w:tc>
          <w:tcPr>
            <w:tcW w:w="2025" w:type="dxa"/>
          </w:tcPr>
          <w:p w:rsidR="00C924F7" w:rsidRDefault="00C924F7" w:rsidP="00023B21">
            <w:r>
              <w:t>Greater of 1/6 staff or 1/40sq.m</w:t>
            </w:r>
          </w:p>
        </w:tc>
        <w:tc>
          <w:tcPr>
            <w:tcW w:w="2025" w:type="dxa"/>
          </w:tcPr>
          <w:p w:rsidR="00C924F7" w:rsidRDefault="00C924F7" w:rsidP="00023B21">
            <w:r>
              <w:t>1/20sq.m</w:t>
            </w:r>
          </w:p>
        </w:tc>
      </w:tr>
    </w:tbl>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C924F7" w:rsidRDefault="00C924F7" w:rsidP="00BE6D65">
      <w:pPr>
        <w:rPr>
          <w:b/>
        </w:rPr>
      </w:pPr>
    </w:p>
    <w:p w:rsidR="00072BF7" w:rsidRDefault="00072BF7" w:rsidP="00BE6D65">
      <w:pPr>
        <w:rPr>
          <w:b/>
        </w:rPr>
      </w:pPr>
    </w:p>
    <w:p w:rsidR="00072BF7" w:rsidRDefault="00072BF7" w:rsidP="00BE6D65">
      <w:pPr>
        <w:rPr>
          <w:b/>
        </w:rPr>
      </w:pPr>
    </w:p>
    <w:p w:rsidR="00072BF7" w:rsidRDefault="00072BF7" w:rsidP="00BE6D65">
      <w:pPr>
        <w:rPr>
          <w:b/>
        </w:rPr>
      </w:pPr>
    </w:p>
    <w:p w:rsidR="00072BF7" w:rsidRDefault="00072BF7" w:rsidP="00BE6D65">
      <w:pPr>
        <w:rPr>
          <w:b/>
        </w:rPr>
      </w:pPr>
    </w:p>
    <w:p w:rsidR="00072BF7" w:rsidRDefault="00072BF7" w:rsidP="00BE6D65">
      <w:pPr>
        <w:rPr>
          <w:b/>
        </w:rPr>
      </w:pPr>
    </w:p>
    <w:p w:rsidR="00BE6D65" w:rsidRPr="00BE6D65" w:rsidRDefault="00BE6D65" w:rsidP="00BE6D65">
      <w:pPr>
        <w:rPr>
          <w:b/>
        </w:rPr>
      </w:pPr>
      <w:r w:rsidRPr="00BE6D65">
        <w:rPr>
          <w:b/>
        </w:rPr>
        <w:lastRenderedPageBreak/>
        <w:t>Bibliography</w:t>
      </w:r>
    </w:p>
    <w:p w:rsidR="00560331" w:rsidRPr="009C7DAF" w:rsidRDefault="00560331" w:rsidP="00560331">
      <w:pPr>
        <w:rPr>
          <w:color w:val="FF0000"/>
          <w:sz w:val="23"/>
          <w:szCs w:val="23"/>
        </w:rPr>
      </w:pPr>
      <w:r w:rsidRPr="00C629F0">
        <w:rPr>
          <w:sz w:val="23"/>
          <w:szCs w:val="23"/>
        </w:rPr>
        <w:t>Brighton and Hove</w:t>
      </w:r>
      <w:r w:rsidRPr="00C629F0">
        <w:rPr>
          <w:rFonts w:ascii="Calibri" w:hAnsi="Calibri"/>
        </w:rPr>
        <w:t xml:space="preserve"> </w:t>
      </w:r>
      <w:r>
        <w:rPr>
          <w:rFonts w:ascii="Calibri" w:hAnsi="Calibri"/>
          <w:color w:val="000000"/>
        </w:rPr>
        <w:t xml:space="preserve">Policy CP21 available: </w:t>
      </w:r>
      <w:hyperlink r:id="rId16" w:history="1">
        <w:r>
          <w:rPr>
            <w:rStyle w:val="Hyperlink"/>
            <w:rFonts w:ascii="Calibri" w:hAnsi="Calibri"/>
          </w:rPr>
          <w:t>https://www.brighton-hove.gov.uk/sites/brighton-hove.gov.uk/files/CP21.pdf</w:t>
        </w:r>
      </w:hyperlink>
    </w:p>
    <w:p w:rsidR="00AA55E4" w:rsidRDefault="00AA55E4" w:rsidP="00560331">
      <w:pPr>
        <w:rPr>
          <w:sz w:val="23"/>
          <w:szCs w:val="23"/>
        </w:rPr>
      </w:pPr>
      <w:r>
        <w:rPr>
          <w:sz w:val="23"/>
          <w:szCs w:val="23"/>
        </w:rPr>
        <w:t>Cambridge City Council (2010) Cycle Parking Guide for new residential developments</w:t>
      </w:r>
    </w:p>
    <w:p w:rsidR="00560331" w:rsidRDefault="00560331" w:rsidP="00560331">
      <w:pPr>
        <w:rPr>
          <w:sz w:val="23"/>
          <w:szCs w:val="23"/>
        </w:rPr>
      </w:pPr>
      <w:r>
        <w:rPr>
          <w:sz w:val="23"/>
          <w:szCs w:val="23"/>
        </w:rPr>
        <w:t xml:space="preserve">Coventry and Warwickshire Strategic Employment Study (2014) available at: </w:t>
      </w:r>
      <w:hyperlink r:id="rId17" w:history="1">
        <w:r w:rsidRPr="00E96DAC">
          <w:rPr>
            <w:rStyle w:val="Hyperlink"/>
            <w:sz w:val="23"/>
            <w:szCs w:val="23"/>
          </w:rPr>
          <w:t>https://www.warwickdc.gov.uk/downloads/file/2328/ec01_-_coventry_and_warwickshire_local_enterprise_partnership_strategic_employment_land_study_-_october_2014</w:t>
        </w:r>
      </w:hyperlink>
    </w:p>
    <w:p w:rsidR="00BE6D65" w:rsidRDefault="00BE6D65" w:rsidP="00BE6D65">
      <w:pPr>
        <w:rPr>
          <w:sz w:val="23"/>
          <w:szCs w:val="23"/>
        </w:rPr>
      </w:pPr>
      <w:proofErr w:type="gramStart"/>
      <w:r>
        <w:rPr>
          <w:sz w:val="23"/>
          <w:szCs w:val="23"/>
        </w:rPr>
        <w:t>Department for Communities and Local Government (DCLG).</w:t>
      </w:r>
      <w:proofErr w:type="gramEnd"/>
      <w:r>
        <w:rPr>
          <w:sz w:val="23"/>
          <w:szCs w:val="23"/>
        </w:rPr>
        <w:t xml:space="preserve"> 2012. National Planning Policy Framework. Available at: </w:t>
      </w:r>
      <w:hyperlink r:id="rId18" w:history="1">
        <w:r w:rsidRPr="00D67078">
          <w:rPr>
            <w:rStyle w:val="Hyperlink"/>
            <w:sz w:val="23"/>
            <w:szCs w:val="23"/>
          </w:rPr>
          <w:t>https://www.gov.uk/government/publications/national-planning-policy-framework--2</w:t>
        </w:r>
      </w:hyperlink>
    </w:p>
    <w:p w:rsidR="00BE6D65" w:rsidRDefault="00BE6D65" w:rsidP="00BE6D65">
      <w:pPr>
        <w:rPr>
          <w:sz w:val="23"/>
          <w:szCs w:val="23"/>
        </w:rPr>
      </w:pPr>
      <w:proofErr w:type="gramStart"/>
      <w:r>
        <w:rPr>
          <w:sz w:val="23"/>
          <w:szCs w:val="23"/>
        </w:rPr>
        <w:t>Department for Transport (</w:t>
      </w:r>
      <w:proofErr w:type="spellStart"/>
      <w:r>
        <w:rPr>
          <w:sz w:val="23"/>
          <w:szCs w:val="23"/>
        </w:rPr>
        <w:t>DfT</w:t>
      </w:r>
      <w:proofErr w:type="spellEnd"/>
      <w:r>
        <w:rPr>
          <w:sz w:val="23"/>
          <w:szCs w:val="23"/>
        </w:rPr>
        <w:t>).</w:t>
      </w:r>
      <w:proofErr w:type="gramEnd"/>
      <w:r>
        <w:rPr>
          <w:sz w:val="23"/>
          <w:szCs w:val="23"/>
        </w:rPr>
        <w:t xml:space="preserve"> 2007. Manual for Streets. Available at: </w:t>
      </w:r>
      <w:hyperlink r:id="rId19" w:history="1">
        <w:r w:rsidRPr="00D67078">
          <w:rPr>
            <w:rStyle w:val="Hyperlink"/>
            <w:sz w:val="23"/>
            <w:szCs w:val="23"/>
          </w:rPr>
          <w:t>https://www.gov.uk/government/uploads/system/uploads/attachment_data/file/3891/pdfmanforstreets.pdf</w:t>
        </w:r>
      </w:hyperlink>
    </w:p>
    <w:p w:rsidR="00560331" w:rsidRDefault="00560331" w:rsidP="00560331">
      <w:pPr>
        <w:rPr>
          <w:sz w:val="23"/>
          <w:szCs w:val="23"/>
        </w:rPr>
      </w:pPr>
      <w:proofErr w:type="gramStart"/>
      <w:r>
        <w:rPr>
          <w:sz w:val="23"/>
          <w:szCs w:val="23"/>
        </w:rPr>
        <w:t>English Partnerships (2008) Car Parking.</w:t>
      </w:r>
      <w:proofErr w:type="gramEnd"/>
      <w:r>
        <w:rPr>
          <w:sz w:val="23"/>
          <w:szCs w:val="23"/>
        </w:rPr>
        <w:t xml:space="preserve">  What works </w:t>
      </w:r>
      <w:proofErr w:type="gramStart"/>
      <w:r>
        <w:rPr>
          <w:sz w:val="23"/>
          <w:szCs w:val="23"/>
        </w:rPr>
        <w:t>where</w:t>
      </w:r>
      <w:proofErr w:type="gramEnd"/>
    </w:p>
    <w:p w:rsidR="00210371" w:rsidRDefault="00210371" w:rsidP="00560331">
      <w:pPr>
        <w:rPr>
          <w:sz w:val="23"/>
          <w:szCs w:val="23"/>
        </w:rPr>
      </w:pPr>
      <w:r>
        <w:rPr>
          <w:sz w:val="23"/>
          <w:szCs w:val="23"/>
        </w:rPr>
        <w:t>Lambeth Council (2012) Parking Survey Guidance Note</w:t>
      </w:r>
    </w:p>
    <w:p w:rsidR="00560331" w:rsidRDefault="00560331" w:rsidP="00560331">
      <w:pPr>
        <w:rPr>
          <w:rStyle w:val="Hyperlink"/>
          <w:sz w:val="23"/>
          <w:szCs w:val="23"/>
        </w:rPr>
      </w:pPr>
      <w:r>
        <w:rPr>
          <w:sz w:val="23"/>
          <w:szCs w:val="23"/>
        </w:rPr>
        <w:t xml:space="preserve">Lifetime Homes: </w:t>
      </w:r>
      <w:hyperlink r:id="rId20" w:history="1">
        <w:r w:rsidRPr="00E96DAC">
          <w:rPr>
            <w:rStyle w:val="Hyperlink"/>
            <w:sz w:val="23"/>
            <w:szCs w:val="23"/>
          </w:rPr>
          <w:t>http://www.lifetimehomes.org.uk/</w:t>
        </w:r>
      </w:hyperlink>
    </w:p>
    <w:p w:rsidR="00560331" w:rsidRDefault="00560331" w:rsidP="00560331">
      <w:pPr>
        <w:rPr>
          <w:sz w:val="23"/>
          <w:szCs w:val="23"/>
        </w:rPr>
      </w:pPr>
      <w:r>
        <w:rPr>
          <w:sz w:val="23"/>
          <w:szCs w:val="23"/>
        </w:rPr>
        <w:t>Ministerial Statement (March 2015)</w:t>
      </w:r>
      <w:r w:rsidRPr="00CC32B0">
        <w:t xml:space="preserve"> </w:t>
      </w:r>
      <w:hyperlink r:id="rId21" w:history="1">
        <w:r w:rsidRPr="00E96DAC">
          <w:rPr>
            <w:rStyle w:val="Hyperlink"/>
            <w:sz w:val="23"/>
            <w:szCs w:val="23"/>
          </w:rPr>
          <w:t>https://www.gov.uk/government/speeches/planning-update-march-2015</w:t>
        </w:r>
      </w:hyperlink>
    </w:p>
    <w:p w:rsidR="00560331" w:rsidRDefault="00560331" w:rsidP="00560331">
      <w:pPr>
        <w:rPr>
          <w:rStyle w:val="Hyperlink"/>
          <w:sz w:val="23"/>
          <w:szCs w:val="23"/>
        </w:rPr>
      </w:pPr>
      <w:proofErr w:type="gramStart"/>
      <w:r>
        <w:rPr>
          <w:sz w:val="23"/>
          <w:szCs w:val="23"/>
        </w:rPr>
        <w:t>Northamptonshire County Council (2016) Parking Standards.</w:t>
      </w:r>
      <w:proofErr w:type="gramEnd"/>
      <w:r>
        <w:rPr>
          <w:sz w:val="23"/>
          <w:szCs w:val="23"/>
        </w:rPr>
        <w:t xml:space="preserve">  Available at: </w:t>
      </w:r>
      <w:hyperlink r:id="rId22" w:history="1">
        <w:r w:rsidRPr="00E96DAC">
          <w:rPr>
            <w:rStyle w:val="Hyperlink"/>
            <w:sz w:val="23"/>
            <w:szCs w:val="23"/>
          </w:rPr>
          <w:t>http://www3.northamptonshire.gov.uk/councilservices/northamptonshire-highways/transport-plans-and-policies/Pages/northamptonshire-parking-standards.aspx</w:t>
        </w:r>
      </w:hyperlink>
    </w:p>
    <w:p w:rsidR="00560331" w:rsidRPr="009C7DAF" w:rsidRDefault="00560331" w:rsidP="00560331">
      <w:pPr>
        <w:rPr>
          <w:color w:val="FF0000"/>
          <w:sz w:val="23"/>
          <w:szCs w:val="23"/>
        </w:rPr>
      </w:pPr>
      <w:r w:rsidRPr="00C629F0">
        <w:rPr>
          <w:sz w:val="23"/>
          <w:szCs w:val="23"/>
        </w:rPr>
        <w:t>Plymouth (2013) Development Guidelines</w:t>
      </w:r>
      <w:r w:rsidRPr="00C629F0">
        <w:rPr>
          <w:rFonts w:ascii="Calibri" w:hAnsi="Calibri"/>
        </w:rPr>
        <w:t xml:space="preserve"> </w:t>
      </w:r>
      <w:r>
        <w:rPr>
          <w:rFonts w:ascii="Calibri" w:hAnsi="Calibri"/>
          <w:color w:val="000000"/>
        </w:rPr>
        <w:t xml:space="preserve">available at: </w:t>
      </w:r>
      <w:hyperlink r:id="rId23" w:history="1">
        <w:r>
          <w:rPr>
            <w:rStyle w:val="Hyperlink"/>
            <w:rFonts w:ascii="Calibri" w:hAnsi="Calibri"/>
          </w:rPr>
          <w:t>http://www.plymouth.gov.uk/sites/default/files/DevelopmentGuidelinesSupplementaryPlanningDocumentFirstReview.pdf</w:t>
        </w:r>
      </w:hyperlink>
    </w:p>
    <w:p w:rsidR="00560331" w:rsidRDefault="00560331" w:rsidP="00560331">
      <w:pPr>
        <w:rPr>
          <w:sz w:val="23"/>
          <w:szCs w:val="23"/>
        </w:rPr>
      </w:pPr>
      <w:r>
        <w:rPr>
          <w:sz w:val="23"/>
          <w:szCs w:val="23"/>
        </w:rPr>
        <w:t>Rugby Borough Council Local Plan – Submission Version 2017</w:t>
      </w:r>
    </w:p>
    <w:p w:rsidR="00AD4E4B" w:rsidRDefault="00AD4E4B" w:rsidP="00BE6D65">
      <w:pPr>
        <w:rPr>
          <w:sz w:val="23"/>
          <w:szCs w:val="23"/>
        </w:rPr>
      </w:pPr>
      <w:r>
        <w:rPr>
          <w:sz w:val="23"/>
          <w:szCs w:val="23"/>
        </w:rPr>
        <w:t xml:space="preserve">Southwark Council () Residential parking survey methodology </w:t>
      </w:r>
    </w:p>
    <w:p w:rsidR="00BE6D65" w:rsidRDefault="00BE6D65" w:rsidP="00BE6D65">
      <w:pPr>
        <w:rPr>
          <w:rStyle w:val="Hyperlink"/>
          <w:sz w:val="23"/>
          <w:szCs w:val="23"/>
        </w:rPr>
      </w:pPr>
      <w:r>
        <w:rPr>
          <w:sz w:val="23"/>
          <w:szCs w:val="23"/>
        </w:rPr>
        <w:lastRenderedPageBreak/>
        <w:t>Space to Park</w:t>
      </w:r>
      <w:r w:rsidR="009C7DAF">
        <w:rPr>
          <w:sz w:val="23"/>
          <w:szCs w:val="23"/>
        </w:rPr>
        <w:t xml:space="preserve">: </w:t>
      </w:r>
      <w:hyperlink r:id="rId24" w:history="1">
        <w:r w:rsidR="009C7DAF" w:rsidRPr="00E96DAC">
          <w:rPr>
            <w:rStyle w:val="Hyperlink"/>
            <w:sz w:val="23"/>
            <w:szCs w:val="23"/>
          </w:rPr>
          <w:t>http://www.spacetopark.org/</w:t>
        </w:r>
      </w:hyperlink>
    </w:p>
    <w:p w:rsidR="00560331" w:rsidRDefault="00560331" w:rsidP="00560331">
      <w:pPr>
        <w:rPr>
          <w:sz w:val="23"/>
          <w:szCs w:val="23"/>
        </w:rPr>
      </w:pPr>
      <w:r>
        <w:rPr>
          <w:sz w:val="23"/>
          <w:szCs w:val="23"/>
        </w:rPr>
        <w:t>Stratford District Council Cabinet Report: Parking Standards.  15 January 2018</w:t>
      </w:r>
    </w:p>
    <w:p w:rsidR="00AA55E4" w:rsidRDefault="00AA55E4" w:rsidP="00560331">
      <w:pPr>
        <w:rPr>
          <w:sz w:val="23"/>
          <w:szCs w:val="23"/>
        </w:rPr>
      </w:pPr>
      <w:proofErr w:type="spellStart"/>
      <w:r>
        <w:rPr>
          <w:sz w:val="23"/>
          <w:szCs w:val="23"/>
        </w:rPr>
        <w:t>Sustrans</w:t>
      </w:r>
      <w:proofErr w:type="spellEnd"/>
      <w:r>
        <w:rPr>
          <w:sz w:val="23"/>
          <w:szCs w:val="23"/>
        </w:rPr>
        <w:t xml:space="preserve"> (2004) Cycle </w:t>
      </w:r>
      <w:proofErr w:type="gramStart"/>
      <w:r>
        <w:rPr>
          <w:sz w:val="23"/>
          <w:szCs w:val="23"/>
        </w:rPr>
        <w:t>Parking</w:t>
      </w:r>
      <w:proofErr w:type="gramEnd"/>
      <w:r>
        <w:rPr>
          <w:sz w:val="23"/>
          <w:szCs w:val="23"/>
        </w:rPr>
        <w:t xml:space="preserve"> information sheet FF37</w:t>
      </w:r>
    </w:p>
    <w:p w:rsidR="009C7DAF" w:rsidRDefault="009C7DAF" w:rsidP="00BE6D65">
      <w:pPr>
        <w:rPr>
          <w:color w:val="FF0000"/>
          <w:sz w:val="23"/>
          <w:szCs w:val="23"/>
        </w:rPr>
      </w:pPr>
      <w:r w:rsidRPr="00C629F0">
        <w:rPr>
          <w:sz w:val="23"/>
          <w:szCs w:val="23"/>
        </w:rPr>
        <w:t>Swansea City Council (2012) Parking Standard</w:t>
      </w:r>
      <w:r w:rsidR="00C629F0" w:rsidRPr="00C629F0">
        <w:rPr>
          <w:sz w:val="23"/>
          <w:szCs w:val="23"/>
        </w:rPr>
        <w:t xml:space="preserve">s SPD available: </w:t>
      </w:r>
      <w:hyperlink r:id="rId25" w:history="1">
        <w:r w:rsidR="00C629F0" w:rsidRPr="00B076C5">
          <w:rPr>
            <w:rStyle w:val="Hyperlink"/>
            <w:sz w:val="23"/>
            <w:szCs w:val="23"/>
          </w:rPr>
          <w:t>https://www.swansea.gov.uk/spg</w:t>
        </w:r>
      </w:hyperlink>
    </w:p>
    <w:p w:rsidR="00C30CB1" w:rsidRDefault="00C30CB1" w:rsidP="00BE6D65">
      <w:pPr>
        <w:rPr>
          <w:color w:val="FF0000"/>
          <w:sz w:val="23"/>
          <w:szCs w:val="23"/>
        </w:rPr>
      </w:pPr>
      <w:r w:rsidRPr="00C629F0">
        <w:rPr>
          <w:sz w:val="23"/>
          <w:szCs w:val="23"/>
        </w:rPr>
        <w:t>Swansea City Council (2017) Houses in Multiple Occupation and Purpose Built Student Accommodation SPD</w:t>
      </w:r>
      <w:r w:rsidR="00C629F0" w:rsidRPr="00C629F0">
        <w:rPr>
          <w:sz w:val="23"/>
          <w:szCs w:val="23"/>
        </w:rPr>
        <w:t xml:space="preserve"> available:</w:t>
      </w:r>
      <w:r w:rsidR="00C629F0">
        <w:rPr>
          <w:color w:val="FF0000"/>
          <w:sz w:val="23"/>
          <w:szCs w:val="23"/>
        </w:rPr>
        <w:t xml:space="preserve"> </w:t>
      </w:r>
      <w:hyperlink r:id="rId26" w:history="1">
        <w:r w:rsidR="00C629F0" w:rsidRPr="00B076C5">
          <w:rPr>
            <w:rStyle w:val="Hyperlink"/>
            <w:sz w:val="23"/>
            <w:szCs w:val="23"/>
          </w:rPr>
          <w:t>https://democracy.swansea.gov.uk/documents/s35526/05%203%20of%204%20-%20Appendix%202a%20SPG%20on%20HMOs%20and%20PBSA%20July%202017_For%20approval%20by%20Planning%20Committee.pdf</w:t>
        </w:r>
      </w:hyperlink>
    </w:p>
    <w:p w:rsidR="00AA55E4" w:rsidRDefault="00AA55E4" w:rsidP="00560331">
      <w:r>
        <w:t>Telford and Wrekin Council (2016) Parking Standards</w:t>
      </w:r>
    </w:p>
    <w:p w:rsidR="00AA55E4" w:rsidRDefault="00AA55E4" w:rsidP="00560331">
      <w:r>
        <w:t>Telford and Wrekin Council (2016) Parking Standards – Evidence Base</w:t>
      </w:r>
    </w:p>
    <w:p w:rsidR="00AA55E4" w:rsidRDefault="00AA55E4" w:rsidP="00560331">
      <w:r>
        <w:t>Transport for London (2006) Workplace cycle parking guide</w:t>
      </w:r>
    </w:p>
    <w:p w:rsidR="00AA55E4" w:rsidRDefault="00AA55E4" w:rsidP="00560331">
      <w:r>
        <w:t>Warwick District Local Plan 2011-2029 (adopted September 2017)</w:t>
      </w:r>
    </w:p>
    <w:p w:rsidR="00AA55E4" w:rsidRDefault="00AA55E4" w:rsidP="00560331">
      <w:r>
        <w:t>Warwick District Council (2012) HMO Article 4 Direction</w:t>
      </w:r>
    </w:p>
    <w:p w:rsidR="00560331" w:rsidRDefault="00560331" w:rsidP="00560331">
      <w:proofErr w:type="gramStart"/>
      <w:r>
        <w:t>Warwickshire Observatory (2013) 2011 Census Key Messages, Warwick District.</w:t>
      </w:r>
      <w:proofErr w:type="gramEnd"/>
      <w:r>
        <w:t xml:space="preserve">  Available at: </w:t>
      </w:r>
      <w:hyperlink r:id="rId27" w:history="1">
        <w:r w:rsidRPr="00D67078">
          <w:rPr>
            <w:rStyle w:val="Hyperlink"/>
          </w:rPr>
          <w:t>https://apps.warwickshire.gov.uk/api/documents/WCCC-1014-142</w:t>
        </w:r>
      </w:hyperlink>
    </w:p>
    <w:p w:rsidR="00560331" w:rsidRDefault="00560331" w:rsidP="00560331">
      <w:r>
        <w:t xml:space="preserve">Warwickshire Observatory. </w:t>
      </w:r>
      <w:proofErr w:type="gramStart"/>
      <w:r>
        <w:t>Indicator data, Vehicle Ownership for 2015 Electoral Wards.</w:t>
      </w:r>
      <w:proofErr w:type="gramEnd"/>
      <w:r>
        <w:t xml:space="preserve">  Available at: </w:t>
      </w:r>
      <w:hyperlink r:id="rId28" w:history="1">
        <w:r w:rsidRPr="00D67078">
          <w:rPr>
            <w:rStyle w:val="Hyperlink"/>
          </w:rPr>
          <w:t>http://maps.warwickshire.gov.uk/IAS/dataviews/tabular?viewId=337&amp;geoId=3740&amp;subsetId</w:t>
        </w:r>
      </w:hyperlink>
      <w:r w:rsidRPr="007930FD">
        <w:t>=</w:t>
      </w:r>
    </w:p>
    <w:p w:rsidR="00560331" w:rsidRDefault="00560331" w:rsidP="00560331">
      <w:pPr>
        <w:rPr>
          <w:sz w:val="23"/>
          <w:szCs w:val="23"/>
        </w:rPr>
      </w:pPr>
      <w:proofErr w:type="gramStart"/>
      <w:r>
        <w:rPr>
          <w:sz w:val="23"/>
          <w:szCs w:val="23"/>
        </w:rPr>
        <w:t>Wychavon Interim Parking Standards (2016).</w:t>
      </w:r>
      <w:proofErr w:type="gramEnd"/>
      <w:r>
        <w:rPr>
          <w:sz w:val="23"/>
          <w:szCs w:val="23"/>
        </w:rPr>
        <w:t xml:space="preserve">  Available at: </w:t>
      </w:r>
      <w:hyperlink r:id="rId29" w:history="1">
        <w:r w:rsidRPr="00E96DAC">
          <w:rPr>
            <w:rStyle w:val="Hyperlink"/>
            <w:sz w:val="23"/>
            <w:szCs w:val="23"/>
          </w:rPr>
          <w:t>https://www.wychavon.gov.uk/documents/10586/1811948/APPENDIX+-+Interim+Parking+Standards+Adopted.pdf/e603f396-028a-4db1-ba09-9f9326076b77</w:t>
        </w:r>
      </w:hyperlink>
    </w:p>
    <w:p w:rsidR="00C81752" w:rsidRPr="000675CF" w:rsidRDefault="00C81752" w:rsidP="00E44865">
      <w:pPr>
        <w:rPr>
          <w:b/>
          <w:sz w:val="28"/>
          <w:szCs w:val="28"/>
        </w:rPr>
      </w:pPr>
      <w:bookmarkStart w:id="0" w:name="_GoBack"/>
      <w:bookmarkEnd w:id="0"/>
    </w:p>
    <w:sectPr w:rsidR="00C81752" w:rsidRPr="000675CF" w:rsidSect="00FE38C2">
      <w:foot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CD" w:rsidRDefault="00BA1FCD" w:rsidP="00D10A40">
      <w:pPr>
        <w:spacing w:after="0" w:line="240" w:lineRule="auto"/>
      </w:pPr>
      <w:r>
        <w:separator/>
      </w:r>
    </w:p>
  </w:endnote>
  <w:endnote w:type="continuationSeparator" w:id="0">
    <w:p w:rsidR="00BA1FCD" w:rsidRDefault="00BA1FCD" w:rsidP="00D1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666562"/>
      <w:docPartObj>
        <w:docPartGallery w:val="Page Numbers (Bottom of Page)"/>
        <w:docPartUnique/>
      </w:docPartObj>
    </w:sdtPr>
    <w:sdtEndPr>
      <w:rPr>
        <w:noProof/>
      </w:rPr>
    </w:sdtEndPr>
    <w:sdtContent>
      <w:p w:rsidR="00BA1FCD" w:rsidRDefault="00BA1FCD">
        <w:pPr>
          <w:pStyle w:val="Footer"/>
          <w:jc w:val="right"/>
        </w:pPr>
        <w:r>
          <w:fldChar w:fldCharType="begin"/>
        </w:r>
        <w:r>
          <w:instrText xml:space="preserve"> PAGE   \* MERGEFORMAT </w:instrText>
        </w:r>
        <w:r>
          <w:fldChar w:fldCharType="separate"/>
        </w:r>
        <w:r w:rsidR="00AD4E4B">
          <w:rPr>
            <w:noProof/>
          </w:rPr>
          <w:t>35</w:t>
        </w:r>
        <w:r>
          <w:rPr>
            <w:noProof/>
          </w:rPr>
          <w:fldChar w:fldCharType="end"/>
        </w:r>
      </w:p>
    </w:sdtContent>
  </w:sdt>
  <w:p w:rsidR="00BA1FCD" w:rsidRDefault="00BA1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CD" w:rsidRDefault="00BA1FCD" w:rsidP="00D10A40">
      <w:pPr>
        <w:spacing w:after="0" w:line="240" w:lineRule="auto"/>
      </w:pPr>
      <w:r>
        <w:separator/>
      </w:r>
    </w:p>
  </w:footnote>
  <w:footnote w:type="continuationSeparator" w:id="0">
    <w:p w:rsidR="00BA1FCD" w:rsidRDefault="00BA1FCD" w:rsidP="00D10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A29"/>
    <w:multiLevelType w:val="hybridMultilevel"/>
    <w:tmpl w:val="A1A8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C00DD"/>
    <w:multiLevelType w:val="hybridMultilevel"/>
    <w:tmpl w:val="8318B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3A1581"/>
    <w:multiLevelType w:val="hybridMultilevel"/>
    <w:tmpl w:val="59EC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296084"/>
    <w:multiLevelType w:val="hybridMultilevel"/>
    <w:tmpl w:val="D664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FA00FF"/>
    <w:multiLevelType w:val="hybridMultilevel"/>
    <w:tmpl w:val="EB68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4F783F"/>
    <w:multiLevelType w:val="hybridMultilevel"/>
    <w:tmpl w:val="E3AE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F45CEE"/>
    <w:multiLevelType w:val="hybridMultilevel"/>
    <w:tmpl w:val="C1B6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556003"/>
    <w:multiLevelType w:val="hybridMultilevel"/>
    <w:tmpl w:val="2018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2184E"/>
    <w:multiLevelType w:val="hybridMultilevel"/>
    <w:tmpl w:val="FF086114"/>
    <w:lvl w:ilvl="0" w:tplc="3872CE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056D96"/>
    <w:multiLevelType w:val="hybridMultilevel"/>
    <w:tmpl w:val="D2163A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672A66"/>
    <w:multiLevelType w:val="hybridMultilevel"/>
    <w:tmpl w:val="6DD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9C223E"/>
    <w:multiLevelType w:val="hybridMultilevel"/>
    <w:tmpl w:val="AD74A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BB2F8F"/>
    <w:multiLevelType w:val="hybridMultilevel"/>
    <w:tmpl w:val="8DEAC9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50C2298"/>
    <w:multiLevelType w:val="hybridMultilevel"/>
    <w:tmpl w:val="3A16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D35C59"/>
    <w:multiLevelType w:val="hybridMultilevel"/>
    <w:tmpl w:val="3C8E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8E7448"/>
    <w:multiLevelType w:val="hybridMultilevel"/>
    <w:tmpl w:val="4CD01D6C"/>
    <w:lvl w:ilvl="0" w:tplc="3872CE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BB4F7C"/>
    <w:multiLevelType w:val="hybridMultilevel"/>
    <w:tmpl w:val="208A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3F14F5"/>
    <w:multiLevelType w:val="hybridMultilevel"/>
    <w:tmpl w:val="B622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640890"/>
    <w:multiLevelType w:val="multilevel"/>
    <w:tmpl w:val="DF36C2BE"/>
    <w:lvl w:ilvl="0">
      <w:start w:val="1"/>
      <w:numFmt w:val="decimal"/>
      <w:lvlText w:val="%1."/>
      <w:lvlJc w:val="left"/>
      <w:pPr>
        <w:ind w:left="644" w:hanging="360"/>
      </w:pPr>
      <w:rPr>
        <w:rFonts w:hint="default"/>
      </w:rPr>
    </w:lvl>
    <w:lvl w:ilvl="1">
      <w:start w:val="22"/>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nsid w:val="5EBC10D8"/>
    <w:multiLevelType w:val="hybridMultilevel"/>
    <w:tmpl w:val="F894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DA118B"/>
    <w:multiLevelType w:val="hybridMultilevel"/>
    <w:tmpl w:val="8C66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CC7489"/>
    <w:multiLevelType w:val="hybridMultilevel"/>
    <w:tmpl w:val="DDB6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F15CA3"/>
    <w:multiLevelType w:val="hybridMultilevel"/>
    <w:tmpl w:val="5A24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871DE4"/>
    <w:multiLevelType w:val="hybridMultilevel"/>
    <w:tmpl w:val="A45E1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EB64A4"/>
    <w:multiLevelType w:val="hybridMultilevel"/>
    <w:tmpl w:val="62CE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9"/>
  </w:num>
  <w:num w:numId="4">
    <w:abstractNumId w:val="1"/>
  </w:num>
  <w:num w:numId="5">
    <w:abstractNumId w:val="14"/>
  </w:num>
  <w:num w:numId="6">
    <w:abstractNumId w:val="22"/>
  </w:num>
  <w:num w:numId="7">
    <w:abstractNumId w:val="21"/>
  </w:num>
  <w:num w:numId="8">
    <w:abstractNumId w:val="20"/>
  </w:num>
  <w:num w:numId="9">
    <w:abstractNumId w:val="24"/>
  </w:num>
  <w:num w:numId="10">
    <w:abstractNumId w:val="12"/>
  </w:num>
  <w:num w:numId="11">
    <w:abstractNumId w:val="9"/>
  </w:num>
  <w:num w:numId="12">
    <w:abstractNumId w:val="6"/>
  </w:num>
  <w:num w:numId="13">
    <w:abstractNumId w:val="4"/>
  </w:num>
  <w:num w:numId="14">
    <w:abstractNumId w:val="23"/>
  </w:num>
  <w:num w:numId="15">
    <w:abstractNumId w:val="5"/>
  </w:num>
  <w:num w:numId="16">
    <w:abstractNumId w:val="17"/>
  </w:num>
  <w:num w:numId="17">
    <w:abstractNumId w:val="7"/>
  </w:num>
  <w:num w:numId="18">
    <w:abstractNumId w:val="13"/>
  </w:num>
  <w:num w:numId="19">
    <w:abstractNumId w:val="16"/>
  </w:num>
  <w:num w:numId="20">
    <w:abstractNumId w:val="11"/>
  </w:num>
  <w:num w:numId="21">
    <w:abstractNumId w:val="2"/>
  </w:num>
  <w:num w:numId="22">
    <w:abstractNumId w:val="8"/>
  </w:num>
  <w:num w:numId="23">
    <w:abstractNumId w:val="15"/>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8C2"/>
    <w:rsid w:val="00010C5C"/>
    <w:rsid w:val="00023B21"/>
    <w:rsid w:val="00036841"/>
    <w:rsid w:val="00043546"/>
    <w:rsid w:val="00045910"/>
    <w:rsid w:val="00056029"/>
    <w:rsid w:val="000675CF"/>
    <w:rsid w:val="00072BF7"/>
    <w:rsid w:val="0009039B"/>
    <w:rsid w:val="000D7949"/>
    <w:rsid w:val="000F4F4C"/>
    <w:rsid w:val="00131454"/>
    <w:rsid w:val="00147BEE"/>
    <w:rsid w:val="00151442"/>
    <w:rsid w:val="001553CB"/>
    <w:rsid w:val="00157130"/>
    <w:rsid w:val="001759FF"/>
    <w:rsid w:val="001A1AA1"/>
    <w:rsid w:val="001B0034"/>
    <w:rsid w:val="001C6F9F"/>
    <w:rsid w:val="001F6FC4"/>
    <w:rsid w:val="001F7D6F"/>
    <w:rsid w:val="00207F41"/>
    <w:rsid w:val="00210371"/>
    <w:rsid w:val="00216E78"/>
    <w:rsid w:val="002238AC"/>
    <w:rsid w:val="00225313"/>
    <w:rsid w:val="00247928"/>
    <w:rsid w:val="0025161D"/>
    <w:rsid w:val="00267FB7"/>
    <w:rsid w:val="00276729"/>
    <w:rsid w:val="0029336D"/>
    <w:rsid w:val="0029770B"/>
    <w:rsid w:val="002A24F0"/>
    <w:rsid w:val="002B0427"/>
    <w:rsid w:val="002E3EFE"/>
    <w:rsid w:val="002E5CF3"/>
    <w:rsid w:val="0030091C"/>
    <w:rsid w:val="00311CE4"/>
    <w:rsid w:val="00380881"/>
    <w:rsid w:val="00386088"/>
    <w:rsid w:val="00387DFD"/>
    <w:rsid w:val="00390073"/>
    <w:rsid w:val="003B75FF"/>
    <w:rsid w:val="003C5CFF"/>
    <w:rsid w:val="003C6935"/>
    <w:rsid w:val="003F2179"/>
    <w:rsid w:val="003F4330"/>
    <w:rsid w:val="004000F3"/>
    <w:rsid w:val="00416061"/>
    <w:rsid w:val="00456592"/>
    <w:rsid w:val="004623F6"/>
    <w:rsid w:val="00472431"/>
    <w:rsid w:val="004A27BD"/>
    <w:rsid w:val="004A38B1"/>
    <w:rsid w:val="004B280C"/>
    <w:rsid w:val="004E7F03"/>
    <w:rsid w:val="00500519"/>
    <w:rsid w:val="005030F9"/>
    <w:rsid w:val="00540A06"/>
    <w:rsid w:val="00543371"/>
    <w:rsid w:val="0054388B"/>
    <w:rsid w:val="00552863"/>
    <w:rsid w:val="005549B4"/>
    <w:rsid w:val="00556808"/>
    <w:rsid w:val="00560331"/>
    <w:rsid w:val="005615B3"/>
    <w:rsid w:val="005819B6"/>
    <w:rsid w:val="00594DE6"/>
    <w:rsid w:val="005B3DE3"/>
    <w:rsid w:val="005B62BC"/>
    <w:rsid w:val="005C7375"/>
    <w:rsid w:val="005D381C"/>
    <w:rsid w:val="005E3785"/>
    <w:rsid w:val="00600D50"/>
    <w:rsid w:val="00610DC1"/>
    <w:rsid w:val="00631AC3"/>
    <w:rsid w:val="00641021"/>
    <w:rsid w:val="00653586"/>
    <w:rsid w:val="00687344"/>
    <w:rsid w:val="0068786D"/>
    <w:rsid w:val="006918DD"/>
    <w:rsid w:val="006D64B6"/>
    <w:rsid w:val="006F04F5"/>
    <w:rsid w:val="006F460F"/>
    <w:rsid w:val="007078FB"/>
    <w:rsid w:val="007438E7"/>
    <w:rsid w:val="00745395"/>
    <w:rsid w:val="00751F97"/>
    <w:rsid w:val="00754FF2"/>
    <w:rsid w:val="0076358A"/>
    <w:rsid w:val="00777EBE"/>
    <w:rsid w:val="007805D1"/>
    <w:rsid w:val="007B1AFA"/>
    <w:rsid w:val="007C5586"/>
    <w:rsid w:val="007E2EF7"/>
    <w:rsid w:val="008276B2"/>
    <w:rsid w:val="00832B53"/>
    <w:rsid w:val="00841B83"/>
    <w:rsid w:val="00851817"/>
    <w:rsid w:val="00861CBF"/>
    <w:rsid w:val="00866B75"/>
    <w:rsid w:val="00881A1B"/>
    <w:rsid w:val="008F75CE"/>
    <w:rsid w:val="008F7B09"/>
    <w:rsid w:val="008F7ECC"/>
    <w:rsid w:val="00902965"/>
    <w:rsid w:val="00916EAB"/>
    <w:rsid w:val="00931496"/>
    <w:rsid w:val="00946220"/>
    <w:rsid w:val="00950A08"/>
    <w:rsid w:val="0095201F"/>
    <w:rsid w:val="00971F52"/>
    <w:rsid w:val="00982A69"/>
    <w:rsid w:val="009838DA"/>
    <w:rsid w:val="00997D07"/>
    <w:rsid w:val="009A06BA"/>
    <w:rsid w:val="009A6547"/>
    <w:rsid w:val="009B281E"/>
    <w:rsid w:val="009B58FD"/>
    <w:rsid w:val="009C7DAF"/>
    <w:rsid w:val="00A05596"/>
    <w:rsid w:val="00A129CD"/>
    <w:rsid w:val="00A305D8"/>
    <w:rsid w:val="00A463E8"/>
    <w:rsid w:val="00A60EC1"/>
    <w:rsid w:val="00A70933"/>
    <w:rsid w:val="00A933E2"/>
    <w:rsid w:val="00A94A22"/>
    <w:rsid w:val="00AA5359"/>
    <w:rsid w:val="00AA53B6"/>
    <w:rsid w:val="00AA55E4"/>
    <w:rsid w:val="00AD4E4B"/>
    <w:rsid w:val="00AD559B"/>
    <w:rsid w:val="00AF4B57"/>
    <w:rsid w:val="00B214D8"/>
    <w:rsid w:val="00B22B88"/>
    <w:rsid w:val="00B23FA3"/>
    <w:rsid w:val="00B24BFD"/>
    <w:rsid w:val="00B34391"/>
    <w:rsid w:val="00B62679"/>
    <w:rsid w:val="00B67196"/>
    <w:rsid w:val="00B713F5"/>
    <w:rsid w:val="00BA0117"/>
    <w:rsid w:val="00BA1FCD"/>
    <w:rsid w:val="00BB5A02"/>
    <w:rsid w:val="00BD7DF4"/>
    <w:rsid w:val="00BE6D65"/>
    <w:rsid w:val="00BF01C0"/>
    <w:rsid w:val="00C20A7E"/>
    <w:rsid w:val="00C30CB1"/>
    <w:rsid w:val="00C629F0"/>
    <w:rsid w:val="00C81752"/>
    <w:rsid w:val="00C83B95"/>
    <w:rsid w:val="00C924F7"/>
    <w:rsid w:val="00CC32B0"/>
    <w:rsid w:val="00CF39C0"/>
    <w:rsid w:val="00D10A40"/>
    <w:rsid w:val="00D151A8"/>
    <w:rsid w:val="00D15E8D"/>
    <w:rsid w:val="00D25E3B"/>
    <w:rsid w:val="00D742D9"/>
    <w:rsid w:val="00D83EEC"/>
    <w:rsid w:val="00DA614E"/>
    <w:rsid w:val="00DC3E32"/>
    <w:rsid w:val="00DE7202"/>
    <w:rsid w:val="00DF12B8"/>
    <w:rsid w:val="00E0182A"/>
    <w:rsid w:val="00E130A1"/>
    <w:rsid w:val="00E24857"/>
    <w:rsid w:val="00E307C8"/>
    <w:rsid w:val="00E31561"/>
    <w:rsid w:val="00E41AE1"/>
    <w:rsid w:val="00E44865"/>
    <w:rsid w:val="00E65F7D"/>
    <w:rsid w:val="00EA61A1"/>
    <w:rsid w:val="00EC5C2A"/>
    <w:rsid w:val="00ED5931"/>
    <w:rsid w:val="00F04365"/>
    <w:rsid w:val="00F25042"/>
    <w:rsid w:val="00F505F1"/>
    <w:rsid w:val="00F54C86"/>
    <w:rsid w:val="00F81C39"/>
    <w:rsid w:val="00F87120"/>
    <w:rsid w:val="00FA7714"/>
    <w:rsid w:val="00FB617E"/>
    <w:rsid w:val="00FD532D"/>
    <w:rsid w:val="00FD7CC9"/>
    <w:rsid w:val="00FE3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391"/>
    <w:pPr>
      <w:ind w:left="720"/>
      <w:contextualSpacing/>
    </w:pPr>
  </w:style>
  <w:style w:type="table" w:styleId="TableGrid">
    <w:name w:val="Table Grid"/>
    <w:basedOn w:val="TableNormal"/>
    <w:uiPriority w:val="59"/>
    <w:rsid w:val="00E31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1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52"/>
    <w:rPr>
      <w:rFonts w:ascii="Tahoma" w:hAnsi="Tahoma" w:cs="Tahoma"/>
      <w:sz w:val="16"/>
      <w:szCs w:val="16"/>
    </w:rPr>
  </w:style>
  <w:style w:type="character" w:styleId="Hyperlink">
    <w:name w:val="Hyperlink"/>
    <w:basedOn w:val="DefaultParagraphFont"/>
    <w:uiPriority w:val="99"/>
    <w:unhideWhenUsed/>
    <w:rsid w:val="00DC3E32"/>
    <w:rPr>
      <w:color w:val="0000FF" w:themeColor="hyperlink"/>
      <w:u w:val="single"/>
    </w:rPr>
  </w:style>
  <w:style w:type="paragraph" w:customStyle="1" w:styleId="Default">
    <w:name w:val="Default"/>
    <w:rsid w:val="00540A0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10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40"/>
  </w:style>
  <w:style w:type="paragraph" w:styleId="Footer">
    <w:name w:val="footer"/>
    <w:basedOn w:val="Normal"/>
    <w:link w:val="FooterChar"/>
    <w:uiPriority w:val="99"/>
    <w:unhideWhenUsed/>
    <w:rsid w:val="00D10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391"/>
    <w:pPr>
      <w:ind w:left="720"/>
      <w:contextualSpacing/>
    </w:pPr>
  </w:style>
  <w:style w:type="table" w:styleId="TableGrid">
    <w:name w:val="Table Grid"/>
    <w:basedOn w:val="TableNormal"/>
    <w:uiPriority w:val="59"/>
    <w:rsid w:val="00E31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1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52"/>
    <w:rPr>
      <w:rFonts w:ascii="Tahoma" w:hAnsi="Tahoma" w:cs="Tahoma"/>
      <w:sz w:val="16"/>
      <w:szCs w:val="16"/>
    </w:rPr>
  </w:style>
  <w:style w:type="character" w:styleId="Hyperlink">
    <w:name w:val="Hyperlink"/>
    <w:basedOn w:val="DefaultParagraphFont"/>
    <w:uiPriority w:val="99"/>
    <w:unhideWhenUsed/>
    <w:rsid w:val="00DC3E32"/>
    <w:rPr>
      <w:color w:val="0000FF" w:themeColor="hyperlink"/>
      <w:u w:val="single"/>
    </w:rPr>
  </w:style>
  <w:style w:type="paragraph" w:customStyle="1" w:styleId="Default">
    <w:name w:val="Default"/>
    <w:rsid w:val="00540A0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10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40"/>
  </w:style>
  <w:style w:type="paragraph" w:styleId="Footer">
    <w:name w:val="footer"/>
    <w:basedOn w:val="Normal"/>
    <w:link w:val="FooterChar"/>
    <w:uiPriority w:val="99"/>
    <w:unhideWhenUsed/>
    <w:rsid w:val="00D10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gov.uk/government/publications/national-planning-policy-framework--2" TargetMode="External"/><Relationship Id="rId26" Type="http://schemas.openxmlformats.org/officeDocument/2006/relationships/hyperlink" Target="https://democracy.swansea.gov.uk/documents/s35526/05%203%20of%204%20-%20Appendix%202a%20SPG%20on%20HMOs%20and%20PBSA%20July%202017_For%20approval%20by%20Planning%20Committee.pdf" TargetMode="External"/><Relationship Id="rId3" Type="http://schemas.microsoft.com/office/2007/relationships/stylesWithEffects" Target="stylesWithEffects.xml"/><Relationship Id="rId21" Type="http://schemas.openxmlformats.org/officeDocument/2006/relationships/hyperlink" Target="https://www.gov.uk/government/speeches/planning-update-march-2015" TargetMode="External"/><Relationship Id="rId7" Type="http://schemas.openxmlformats.org/officeDocument/2006/relationships/endnotes" Target="endnotes.xml"/><Relationship Id="rId12" Type="http://schemas.openxmlformats.org/officeDocument/2006/relationships/hyperlink" Target="https://www.warwickdc.gov.uk/downloads/file/2328/ec01_-_coventry_and_warwickshire_local_enterprise_partnership_strategic_employment_land_study_-_october_2014https:/www.warwickdc.gov.uk/downloads/file/2328/ec01_-_coventry_and_warwickshire_local_enterprise_partnership_strategic_employment_land_study_-_october_2014" TargetMode="External"/><Relationship Id="rId17" Type="http://schemas.openxmlformats.org/officeDocument/2006/relationships/hyperlink" Target="https://www.warwickdc.gov.uk/downloads/file/2328/ec01_-_coventry_and_warwickshire_local_enterprise_partnership_strategic_employment_land_study_-_october_2014" TargetMode="External"/><Relationship Id="rId25" Type="http://schemas.openxmlformats.org/officeDocument/2006/relationships/hyperlink" Target="https://www.swansea.gov.uk/spg" TargetMode="External"/><Relationship Id="rId2" Type="http://schemas.openxmlformats.org/officeDocument/2006/relationships/styles" Target="styles.xml"/><Relationship Id="rId16" Type="http://schemas.openxmlformats.org/officeDocument/2006/relationships/hyperlink" Target="https://www.brighton-hove.gov.uk/sites/brighton-hove.gov.uk/files/CP21.pdf" TargetMode="External"/><Relationship Id="rId20" Type="http://schemas.openxmlformats.org/officeDocument/2006/relationships/hyperlink" Target="http://www.lifetimehomes.org.uk/" TargetMode="External"/><Relationship Id="rId29" Type="http://schemas.openxmlformats.org/officeDocument/2006/relationships/hyperlink" Target="https://www.wychavon.gov.uk/documents/10586/1811948/APPENDIX+-+Interim+Parking+Standards+Adopted.pdf/e603f396-028a-4db1-ba09-9f9326076b7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pacetopark.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lymouth.gov.uk/sites/default/files/DevelopmentGuidelinesSupplementaryPlanningDocumentFirstReview.pdf" TargetMode="External"/><Relationship Id="rId28" Type="http://schemas.openxmlformats.org/officeDocument/2006/relationships/hyperlink" Target="http://maps.warwickshire.gov.uk/IAS/dataviews/tabular?viewId=337&amp;geoId=3740&amp;subsetId" TargetMode="External"/><Relationship Id="rId10" Type="http://schemas.openxmlformats.org/officeDocument/2006/relationships/image" Target="media/image3.jpeg"/><Relationship Id="rId19" Type="http://schemas.openxmlformats.org/officeDocument/2006/relationships/hyperlink" Target="https://www.gov.uk/government/uploads/system/uploads/attachment_data/file/3891/pdfmanforstreet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3.northamptonshire.gov.uk/councilservices/northamptonshire-highways/transport-plans-and-policies/Pages/northamptonshire-parking-standards.aspx" TargetMode="External"/><Relationship Id="rId27" Type="http://schemas.openxmlformats.org/officeDocument/2006/relationships/hyperlink" Target="https://apps.warwickshire.gov.uk/api/documents/WCCC-1014-14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37</Pages>
  <Words>7972</Words>
  <Characters>45446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Warwick District Council</Company>
  <LinksUpToDate>false</LinksUpToDate>
  <CharactersWithSpaces>53312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Smith</dc:creator>
  <cp:lastModifiedBy>Hayley Smith</cp:lastModifiedBy>
  <cp:revision>30</cp:revision>
  <cp:lastPrinted>2018-01-03T11:38:00Z</cp:lastPrinted>
  <dcterms:created xsi:type="dcterms:W3CDTF">2018-01-17T17:01:00Z</dcterms:created>
  <dcterms:modified xsi:type="dcterms:W3CDTF">2018-02-01T12:10:00Z</dcterms:modified>
</cp:coreProperties>
</file>