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tblCellMar>
          <w:top w:w="15" w:type="dxa"/>
          <w:left w:w="15" w:type="dxa"/>
          <w:bottom w:w="15" w:type="dxa"/>
          <w:right w:w="15" w:type="dxa"/>
        </w:tblCellMar>
        <w:tblLook w:val="0000" w:firstRow="0" w:lastRow="0" w:firstColumn="0" w:lastColumn="0" w:noHBand="0" w:noVBand="0"/>
      </w:tblPr>
      <w:tblGrid>
        <w:gridCol w:w="10380"/>
      </w:tblGrid>
      <w:tr w:rsidR="008C32E9" w:rsidTr="00CD750A">
        <w:trPr>
          <w:trHeight w:val="675"/>
        </w:trPr>
        <w:tc>
          <w:tcPr>
            <w:tcW w:w="10380" w:type="dxa"/>
            <w:vAlign w:val="center"/>
          </w:tcPr>
          <w:p w:rsidR="008C32E9" w:rsidRDefault="00211411" w:rsidP="00CD750A">
            <w:pPr>
              <w:pStyle w:val="NormalWeb"/>
            </w:pPr>
            <w:bookmarkStart w:id="0" w:name="_GoBack"/>
            <w:bookmarkEnd w:id="0"/>
            <w:r>
              <w:rPr>
                <w:noProof/>
                <w:lang w:eastAsia="en-GB"/>
              </w:rPr>
              <w:drawing>
                <wp:inline distT="0" distB="0" distL="0" distR="0">
                  <wp:extent cx="3352800" cy="352425"/>
                  <wp:effectExtent l="0" t="0" r="0" b="9525"/>
                  <wp:docPr id="1" name="Picture 1" descr="PI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0" cy="352425"/>
                          </a:xfrm>
                          <a:prstGeom prst="rect">
                            <a:avLst/>
                          </a:prstGeom>
                          <a:noFill/>
                          <a:ln>
                            <a:noFill/>
                          </a:ln>
                        </pic:spPr>
                      </pic:pic>
                    </a:graphicData>
                  </a:graphic>
                </wp:inline>
              </w:drawing>
            </w:r>
          </w:p>
        </w:tc>
      </w:tr>
    </w:tbl>
    <w:p w:rsidR="00D21E3D" w:rsidRDefault="008046EC" w:rsidP="00D21E3D">
      <w:pPr>
        <w:pStyle w:val="Noindent"/>
        <w:tabs>
          <w:tab w:val="clear" w:pos="426"/>
        </w:tabs>
      </w:pPr>
      <w:r>
        <w:br/>
      </w:r>
    </w:p>
    <w:tbl>
      <w:tblPr>
        <w:tblW w:w="9498"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498"/>
      </w:tblGrid>
      <w:tr w:rsidR="00711876" w:rsidRPr="003447C2" w:rsidTr="00636D8B">
        <w:trPr>
          <w:cantSplit/>
          <w:trHeight w:val="983"/>
        </w:trPr>
        <w:tc>
          <w:tcPr>
            <w:tcW w:w="9498" w:type="dxa"/>
            <w:shd w:val="clear" w:color="auto" w:fill="auto"/>
          </w:tcPr>
          <w:p w:rsidR="00711876" w:rsidRPr="00E47D38" w:rsidRDefault="00711876" w:rsidP="0055095D">
            <w:pPr>
              <w:pStyle w:val="Style7ptBlackLeft-019cmRight-019cm"/>
              <w:rPr>
                <w:b/>
                <w:sz w:val="36"/>
                <w:szCs w:val="36"/>
              </w:rPr>
            </w:pPr>
            <w:r w:rsidRPr="00E47D38">
              <w:rPr>
                <w:b/>
                <w:sz w:val="36"/>
                <w:szCs w:val="36"/>
              </w:rPr>
              <w:t>Report to</w:t>
            </w:r>
            <w:r w:rsidR="0055095D">
              <w:rPr>
                <w:b/>
                <w:sz w:val="36"/>
                <w:szCs w:val="36"/>
              </w:rPr>
              <w:t xml:space="preserve"> Warwick District</w:t>
            </w:r>
            <w:r w:rsidRPr="0088171D">
              <w:rPr>
                <w:b/>
                <w:color w:val="0000FF"/>
                <w:sz w:val="36"/>
                <w:szCs w:val="36"/>
              </w:rPr>
              <w:t xml:space="preserve"> </w:t>
            </w:r>
            <w:r w:rsidRPr="00E47D38">
              <w:rPr>
                <w:b/>
                <w:sz w:val="36"/>
                <w:szCs w:val="36"/>
              </w:rPr>
              <w:t>Council</w:t>
            </w:r>
          </w:p>
        </w:tc>
      </w:tr>
      <w:tr w:rsidR="00711876" w:rsidRPr="0034226D" w:rsidTr="00E47D38">
        <w:trPr>
          <w:cantSplit/>
          <w:trHeight w:val="506"/>
        </w:trPr>
        <w:tc>
          <w:tcPr>
            <w:tcW w:w="9498" w:type="dxa"/>
            <w:shd w:val="clear" w:color="auto" w:fill="auto"/>
          </w:tcPr>
          <w:p w:rsidR="00711876" w:rsidRPr="00ED2C13" w:rsidRDefault="0055095D" w:rsidP="0055095D">
            <w:pPr>
              <w:spacing w:before="180"/>
              <w:ind w:left="-108"/>
              <w:rPr>
                <w:b/>
                <w:color w:val="000000"/>
              </w:rPr>
            </w:pPr>
            <w:r>
              <w:rPr>
                <w:b/>
                <w:color w:val="000000"/>
              </w:rPr>
              <w:t xml:space="preserve">By Michael J Hetherington BSc(Hons) MA MRTPI MCIEEM </w:t>
            </w:r>
          </w:p>
        </w:tc>
      </w:tr>
      <w:tr w:rsidR="00711876" w:rsidRPr="000A2C71" w:rsidTr="00E47D38">
        <w:trPr>
          <w:cantSplit/>
          <w:trHeight w:hRule="exact" w:val="405"/>
        </w:trPr>
        <w:tc>
          <w:tcPr>
            <w:tcW w:w="9498" w:type="dxa"/>
            <w:shd w:val="clear" w:color="auto" w:fill="auto"/>
          </w:tcPr>
          <w:p w:rsidR="00711876" w:rsidRPr="00E2275A" w:rsidRDefault="00711876" w:rsidP="00636D8B">
            <w:pPr>
              <w:spacing w:before="120" w:line="360" w:lineRule="auto"/>
              <w:ind w:left="-108"/>
              <w:rPr>
                <w:b/>
                <w:color w:val="000000"/>
                <w:sz w:val="18"/>
                <w:szCs w:val="18"/>
              </w:rPr>
            </w:pPr>
            <w:r w:rsidRPr="00E2275A">
              <w:rPr>
                <w:b/>
                <w:color w:val="000000"/>
                <w:sz w:val="18"/>
                <w:szCs w:val="18"/>
              </w:rPr>
              <w:t xml:space="preserve">an </w:t>
            </w:r>
            <w:r w:rsidR="006D7740">
              <w:rPr>
                <w:b/>
                <w:color w:val="000000"/>
                <w:sz w:val="18"/>
                <w:szCs w:val="18"/>
              </w:rPr>
              <w:t>Examiner</w:t>
            </w:r>
            <w:r w:rsidRPr="00E2275A">
              <w:rPr>
                <w:b/>
                <w:color w:val="000000"/>
                <w:sz w:val="18"/>
                <w:szCs w:val="18"/>
              </w:rPr>
              <w:t xml:space="preserve"> appointed by the </w:t>
            </w:r>
            <w:r w:rsidR="006D7740">
              <w:rPr>
                <w:b/>
                <w:color w:val="000000"/>
                <w:sz w:val="18"/>
                <w:szCs w:val="18"/>
              </w:rPr>
              <w:t xml:space="preserve">Council </w:t>
            </w:r>
          </w:p>
        </w:tc>
      </w:tr>
      <w:tr w:rsidR="00711876" w:rsidRPr="000A2C71" w:rsidTr="00636D8B">
        <w:trPr>
          <w:cantSplit/>
          <w:trHeight w:hRule="exact" w:val="374"/>
        </w:trPr>
        <w:tc>
          <w:tcPr>
            <w:tcW w:w="9498" w:type="dxa"/>
            <w:shd w:val="clear" w:color="auto" w:fill="auto"/>
          </w:tcPr>
          <w:p w:rsidR="00711876" w:rsidRDefault="00711876" w:rsidP="00636D8B">
            <w:pPr>
              <w:pStyle w:val="StyleVerdana7ptBlackLeft-02cm"/>
              <w:spacing w:before="120" w:line="360" w:lineRule="auto"/>
              <w:rPr>
                <w:b/>
                <w:sz w:val="16"/>
                <w:szCs w:val="16"/>
              </w:rPr>
            </w:pPr>
            <w:r w:rsidRPr="00F369C1">
              <w:rPr>
                <w:b/>
                <w:sz w:val="16"/>
                <w:szCs w:val="16"/>
              </w:rPr>
              <w:t>Date</w:t>
            </w:r>
            <w:r w:rsidR="00947B56">
              <w:rPr>
                <w:b/>
                <w:sz w:val="16"/>
                <w:szCs w:val="16"/>
              </w:rPr>
              <w:t xml:space="preserve">:  </w:t>
            </w:r>
            <w:r w:rsidR="00ED4924">
              <w:rPr>
                <w:b/>
                <w:sz w:val="16"/>
                <w:szCs w:val="16"/>
              </w:rPr>
              <w:t>23 October 2017</w:t>
            </w:r>
          </w:p>
          <w:p w:rsidR="00711876" w:rsidRPr="000A2C71" w:rsidRDefault="00711876" w:rsidP="00636D8B">
            <w:pPr>
              <w:tabs>
                <w:tab w:val="left" w:pos="2250"/>
              </w:tabs>
            </w:pPr>
            <w:r>
              <w:tab/>
            </w:r>
          </w:p>
          <w:p w:rsidR="00711876" w:rsidRDefault="00711876" w:rsidP="00636D8B">
            <w:pPr>
              <w:pStyle w:val="StyleVerdana7ptBlackLeft-02cm"/>
              <w:spacing w:before="120"/>
              <w:rPr>
                <w:b/>
                <w:sz w:val="16"/>
                <w:szCs w:val="16"/>
              </w:rPr>
            </w:pPr>
          </w:p>
          <w:p w:rsidR="00711876" w:rsidRPr="000A2C71" w:rsidRDefault="00711876" w:rsidP="00636D8B">
            <w:pPr>
              <w:pStyle w:val="StyleVerdana7ptBlackLeft-02cm"/>
            </w:pPr>
          </w:p>
        </w:tc>
      </w:tr>
    </w:tbl>
    <w:p w:rsidR="00D21E3D" w:rsidRDefault="00D21E3D" w:rsidP="00D21E3D">
      <w:pPr>
        <w:pStyle w:val="Noindent"/>
      </w:pPr>
    </w:p>
    <w:p w:rsidR="00D21E3D" w:rsidRDefault="00D21E3D" w:rsidP="00D21E3D">
      <w:pPr>
        <w:pStyle w:val="Header"/>
      </w:pPr>
    </w:p>
    <w:p w:rsidR="00D21E3D" w:rsidRDefault="00D21E3D" w:rsidP="00D21E3D">
      <w:pPr>
        <w:pStyle w:val="Noindent"/>
      </w:pPr>
    </w:p>
    <w:p w:rsidR="00D21E3D" w:rsidRDefault="00D21E3D" w:rsidP="00D21E3D"/>
    <w:p w:rsidR="00D21E3D" w:rsidRDefault="00D21E3D" w:rsidP="00D21E3D">
      <w:pPr>
        <w:pStyle w:val="Noindent"/>
        <w:tabs>
          <w:tab w:val="clear" w:pos="426"/>
        </w:tabs>
      </w:pPr>
    </w:p>
    <w:p w:rsidR="00D21E3D" w:rsidRDefault="00D21E3D" w:rsidP="00D21E3D">
      <w:pPr>
        <w:pStyle w:val="Noindent"/>
        <w:tabs>
          <w:tab w:val="clear" w:pos="426"/>
        </w:tabs>
      </w:pPr>
    </w:p>
    <w:p w:rsidR="00D21E3D" w:rsidRDefault="00D21E3D" w:rsidP="00D21E3D">
      <w:pPr>
        <w:pStyle w:val="Noindent"/>
        <w:tabs>
          <w:tab w:val="clear" w:pos="426"/>
        </w:tabs>
      </w:pPr>
    </w:p>
    <w:p w:rsidR="00D21E3D" w:rsidRDefault="00D21E3D" w:rsidP="00D21E3D">
      <w:pPr>
        <w:pStyle w:val="Noindent"/>
        <w:tabs>
          <w:tab w:val="clear" w:pos="426"/>
        </w:tabs>
      </w:pPr>
    </w:p>
    <w:p w:rsidR="00D21E3D" w:rsidRDefault="00D21E3D" w:rsidP="00D21E3D">
      <w:pPr>
        <w:pStyle w:val="Noindent"/>
        <w:tabs>
          <w:tab w:val="clear" w:pos="426"/>
        </w:tabs>
      </w:pPr>
    </w:p>
    <w:p w:rsidR="00D21E3D" w:rsidRDefault="00D21E3D" w:rsidP="00D21E3D">
      <w:pPr>
        <w:pStyle w:val="Noindent"/>
        <w:tabs>
          <w:tab w:val="clear" w:pos="426"/>
        </w:tabs>
      </w:pPr>
    </w:p>
    <w:tbl>
      <w:tblPr>
        <w:tblW w:w="9948" w:type="dxa"/>
        <w:tblInd w:w="-432" w:type="dxa"/>
        <w:tblLayout w:type="fixed"/>
        <w:tblLook w:val="0000" w:firstRow="0" w:lastRow="0" w:firstColumn="0" w:lastColumn="0" w:noHBand="0" w:noVBand="0"/>
      </w:tblPr>
      <w:tblGrid>
        <w:gridCol w:w="9948"/>
      </w:tblGrid>
      <w:tr w:rsidR="00D21E3D" w:rsidTr="00FC4746">
        <w:trPr>
          <w:cantSplit/>
        </w:trPr>
        <w:tc>
          <w:tcPr>
            <w:tcW w:w="9948" w:type="dxa"/>
          </w:tcPr>
          <w:p w:rsidR="00D21E3D" w:rsidRPr="00496FB4" w:rsidRDefault="00D21E3D" w:rsidP="00FC4746">
            <w:pPr>
              <w:pStyle w:val="Noindent"/>
              <w:tabs>
                <w:tab w:val="clear" w:pos="426"/>
              </w:tabs>
              <w:spacing w:before="240"/>
              <w:jc w:val="center"/>
            </w:pPr>
            <w:r w:rsidRPr="00496FB4">
              <w:t xml:space="preserve">PLANNING </w:t>
            </w:r>
            <w:r w:rsidR="00947B56">
              <w:t xml:space="preserve">ACT </w:t>
            </w:r>
            <w:r w:rsidRPr="00496FB4">
              <w:t>200</w:t>
            </w:r>
            <w:r w:rsidR="00947B56">
              <w:t xml:space="preserve">8 (AS AMENDED) </w:t>
            </w:r>
          </w:p>
        </w:tc>
      </w:tr>
      <w:tr w:rsidR="00D21E3D" w:rsidTr="00FC4746">
        <w:trPr>
          <w:cantSplit/>
        </w:trPr>
        <w:tc>
          <w:tcPr>
            <w:tcW w:w="9948" w:type="dxa"/>
          </w:tcPr>
          <w:p w:rsidR="00D21E3D" w:rsidRPr="00496FB4" w:rsidRDefault="00947B56" w:rsidP="00FC4746">
            <w:pPr>
              <w:pStyle w:val="Noindent"/>
              <w:tabs>
                <w:tab w:val="clear" w:pos="426"/>
              </w:tabs>
              <w:spacing w:before="240"/>
              <w:jc w:val="center"/>
            </w:pPr>
            <w:r>
              <w:t>SECTION 212(2)</w:t>
            </w:r>
          </w:p>
        </w:tc>
      </w:tr>
      <w:tr w:rsidR="00D21E3D" w:rsidTr="00FC4746">
        <w:trPr>
          <w:cantSplit/>
        </w:trPr>
        <w:tc>
          <w:tcPr>
            <w:tcW w:w="9948" w:type="dxa"/>
          </w:tcPr>
          <w:p w:rsidR="00D21E3D" w:rsidRPr="00496FB4" w:rsidRDefault="00D21E3D" w:rsidP="00FC4746">
            <w:pPr>
              <w:pStyle w:val="Noindent"/>
              <w:tabs>
                <w:tab w:val="clear" w:pos="426"/>
              </w:tabs>
              <w:spacing w:before="240"/>
              <w:jc w:val="center"/>
            </w:pPr>
          </w:p>
        </w:tc>
      </w:tr>
      <w:tr w:rsidR="00D21E3D" w:rsidTr="00FC4746">
        <w:trPr>
          <w:cantSplit/>
        </w:trPr>
        <w:tc>
          <w:tcPr>
            <w:tcW w:w="9948" w:type="dxa"/>
          </w:tcPr>
          <w:p w:rsidR="00D21E3D" w:rsidRPr="003624D8" w:rsidRDefault="00D21E3D" w:rsidP="0055095D">
            <w:pPr>
              <w:pStyle w:val="Noindent"/>
              <w:tabs>
                <w:tab w:val="clear" w:pos="426"/>
              </w:tabs>
              <w:spacing w:before="240"/>
              <w:jc w:val="center"/>
              <w:rPr>
                <w:b/>
              </w:rPr>
            </w:pPr>
            <w:r w:rsidRPr="003624D8">
              <w:rPr>
                <w:b/>
              </w:rPr>
              <w:t xml:space="preserve">REPORT ON THE EXAMINATION </w:t>
            </w:r>
            <w:r w:rsidR="00947B56">
              <w:rPr>
                <w:b/>
              </w:rPr>
              <w:t>OF</w:t>
            </w:r>
            <w:r w:rsidRPr="003624D8">
              <w:rPr>
                <w:b/>
              </w:rPr>
              <w:t xml:space="preserve"> </w:t>
            </w:r>
            <w:r w:rsidR="00947B56">
              <w:rPr>
                <w:b/>
              </w:rPr>
              <w:t xml:space="preserve">THE </w:t>
            </w:r>
            <w:r w:rsidR="00905D7A">
              <w:rPr>
                <w:b/>
              </w:rPr>
              <w:t>DRAFT</w:t>
            </w:r>
            <w:r w:rsidR="0055095D">
              <w:rPr>
                <w:b/>
              </w:rPr>
              <w:t xml:space="preserve"> WARWICK DISTRICT COUNCIL </w:t>
            </w:r>
            <w:r w:rsidR="00947B56">
              <w:rPr>
                <w:b/>
              </w:rPr>
              <w:t xml:space="preserve">COMMUNITY INFRASTRUCTURE LEVY </w:t>
            </w:r>
            <w:r w:rsidR="0055095D">
              <w:rPr>
                <w:b/>
              </w:rPr>
              <w:t xml:space="preserve">(CIL) </w:t>
            </w:r>
            <w:r w:rsidR="00947B56">
              <w:rPr>
                <w:b/>
              </w:rPr>
              <w:t>CHARGING SCHEDULE</w:t>
            </w:r>
          </w:p>
        </w:tc>
      </w:tr>
      <w:tr w:rsidR="00D21E3D" w:rsidTr="00FC4746">
        <w:trPr>
          <w:cantSplit/>
        </w:trPr>
        <w:tc>
          <w:tcPr>
            <w:tcW w:w="9948" w:type="dxa"/>
          </w:tcPr>
          <w:p w:rsidR="00D21E3D" w:rsidRPr="003624D8" w:rsidRDefault="00D21E3D" w:rsidP="00FC4746">
            <w:pPr>
              <w:pStyle w:val="Noindent"/>
              <w:tabs>
                <w:tab w:val="clear" w:pos="426"/>
              </w:tabs>
              <w:spacing w:before="240"/>
              <w:jc w:val="center"/>
              <w:rPr>
                <w:b/>
              </w:rPr>
            </w:pPr>
          </w:p>
        </w:tc>
      </w:tr>
    </w:tbl>
    <w:p w:rsidR="00D21E3D" w:rsidRDefault="00D21E3D" w:rsidP="00D21E3D"/>
    <w:p w:rsidR="00D21E3D" w:rsidRDefault="00D21E3D" w:rsidP="00D21E3D"/>
    <w:p w:rsidR="00D21E3D" w:rsidRDefault="00D21E3D" w:rsidP="00D21E3D"/>
    <w:p w:rsidR="00D21E3D" w:rsidRDefault="00D21E3D" w:rsidP="00D21E3D"/>
    <w:p w:rsidR="00D74866" w:rsidRDefault="00D74866" w:rsidP="00D21E3D"/>
    <w:p w:rsidR="00D74866" w:rsidRDefault="00D74866" w:rsidP="00D21E3D"/>
    <w:p w:rsidR="00D74866" w:rsidRDefault="00D74866" w:rsidP="00D21E3D"/>
    <w:p w:rsidR="00D21E3D" w:rsidRDefault="00D21E3D" w:rsidP="00D21E3D"/>
    <w:p w:rsidR="00D21E3D" w:rsidRDefault="00D21E3D" w:rsidP="00D21E3D"/>
    <w:p w:rsidR="00D21E3D" w:rsidRDefault="00D21E3D" w:rsidP="00D21E3D"/>
    <w:tbl>
      <w:tblPr>
        <w:tblW w:w="9900" w:type="dxa"/>
        <w:tblInd w:w="-432" w:type="dxa"/>
        <w:tblLook w:val="0000" w:firstRow="0" w:lastRow="0" w:firstColumn="0" w:lastColumn="0" w:noHBand="0" w:noVBand="0"/>
      </w:tblPr>
      <w:tblGrid>
        <w:gridCol w:w="9900"/>
      </w:tblGrid>
      <w:tr w:rsidR="00D21E3D" w:rsidTr="00FC4746">
        <w:trPr>
          <w:trHeight w:val="476"/>
        </w:trPr>
        <w:tc>
          <w:tcPr>
            <w:tcW w:w="9900" w:type="dxa"/>
          </w:tcPr>
          <w:p w:rsidR="00D21E3D" w:rsidRPr="00C10AA7" w:rsidRDefault="000E5E1F" w:rsidP="0055095D">
            <w:pPr>
              <w:pStyle w:val="Noindent"/>
              <w:tabs>
                <w:tab w:val="clear" w:pos="426"/>
              </w:tabs>
              <w:rPr>
                <w:color w:val="FF6600"/>
                <w:szCs w:val="24"/>
              </w:rPr>
            </w:pPr>
            <w:r>
              <w:rPr>
                <w:szCs w:val="24"/>
              </w:rPr>
              <w:t xml:space="preserve">Charging Schedule </w:t>
            </w:r>
            <w:r w:rsidR="00D21E3D" w:rsidRPr="00C10AA7">
              <w:rPr>
                <w:szCs w:val="24"/>
              </w:rPr>
              <w:t>submitted for examination on</w:t>
            </w:r>
            <w:r w:rsidR="0055095D">
              <w:rPr>
                <w:szCs w:val="24"/>
              </w:rPr>
              <w:t xml:space="preserve"> 28 April 2017</w:t>
            </w:r>
          </w:p>
        </w:tc>
      </w:tr>
      <w:tr w:rsidR="0055095D" w:rsidRPr="0055095D" w:rsidTr="00FC4746">
        <w:trPr>
          <w:trHeight w:val="359"/>
        </w:trPr>
        <w:tc>
          <w:tcPr>
            <w:tcW w:w="9900" w:type="dxa"/>
          </w:tcPr>
          <w:p w:rsidR="00D21E3D" w:rsidRPr="0055095D" w:rsidRDefault="0088171D" w:rsidP="0055095D">
            <w:pPr>
              <w:pStyle w:val="Noindent"/>
              <w:tabs>
                <w:tab w:val="clear" w:pos="426"/>
              </w:tabs>
              <w:rPr>
                <w:color w:val="000000" w:themeColor="text1"/>
                <w:szCs w:val="24"/>
              </w:rPr>
            </w:pPr>
            <w:r w:rsidRPr="0055095D">
              <w:rPr>
                <w:color w:val="000000" w:themeColor="text1"/>
                <w:szCs w:val="24"/>
              </w:rPr>
              <w:t xml:space="preserve">Examination hearing held </w:t>
            </w:r>
            <w:r w:rsidR="0055095D">
              <w:rPr>
                <w:color w:val="000000" w:themeColor="text1"/>
                <w:szCs w:val="24"/>
              </w:rPr>
              <w:t>on 6 July 2017</w:t>
            </w:r>
          </w:p>
        </w:tc>
      </w:tr>
      <w:tr w:rsidR="00D21E3D" w:rsidTr="00FC4746">
        <w:trPr>
          <w:trHeight w:val="694"/>
        </w:trPr>
        <w:tc>
          <w:tcPr>
            <w:tcW w:w="9900" w:type="dxa"/>
          </w:tcPr>
          <w:p w:rsidR="00D21E3D" w:rsidRDefault="00D21E3D" w:rsidP="00FC4746">
            <w:pPr>
              <w:pStyle w:val="Noindent"/>
              <w:tabs>
                <w:tab w:val="clear" w:pos="426"/>
              </w:tabs>
            </w:pPr>
          </w:p>
        </w:tc>
      </w:tr>
      <w:tr w:rsidR="00D21E3D" w:rsidTr="00FC4746">
        <w:trPr>
          <w:trHeight w:val="502"/>
        </w:trPr>
        <w:tc>
          <w:tcPr>
            <w:tcW w:w="9900" w:type="dxa"/>
          </w:tcPr>
          <w:p w:rsidR="00D21E3D" w:rsidRPr="0055095D" w:rsidRDefault="00D21E3D" w:rsidP="00FC4746">
            <w:pPr>
              <w:pStyle w:val="Noindent"/>
              <w:tabs>
                <w:tab w:val="clear" w:pos="426"/>
              </w:tabs>
              <w:rPr>
                <w:color w:val="000000" w:themeColor="text1"/>
                <w:szCs w:val="24"/>
              </w:rPr>
            </w:pPr>
            <w:r>
              <w:rPr>
                <w:szCs w:val="24"/>
              </w:rPr>
              <w:t>File Ref</w:t>
            </w:r>
            <w:r w:rsidRPr="00C10AA7">
              <w:rPr>
                <w:szCs w:val="24"/>
              </w:rPr>
              <w:t>:</w:t>
            </w:r>
            <w:r w:rsidR="00947B56">
              <w:rPr>
                <w:szCs w:val="24"/>
              </w:rPr>
              <w:t xml:space="preserve"> </w:t>
            </w:r>
            <w:r w:rsidR="00A4412F">
              <w:rPr>
                <w:szCs w:val="24"/>
              </w:rPr>
              <w:t>PINS</w:t>
            </w:r>
            <w:r w:rsidR="0055095D">
              <w:rPr>
                <w:color w:val="000000" w:themeColor="text1"/>
                <w:szCs w:val="24"/>
              </w:rPr>
              <w:t>/T3725/429/6</w:t>
            </w:r>
          </w:p>
        </w:tc>
      </w:tr>
    </w:tbl>
    <w:p w:rsidR="00086E3E" w:rsidRDefault="00086E3E" w:rsidP="00AA258E">
      <w:pPr>
        <w:pStyle w:val="DPDIntro"/>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1025B" w:rsidTr="00F314CD">
        <w:tc>
          <w:tcPr>
            <w:tcW w:w="9520" w:type="dxa"/>
            <w:shd w:val="clear" w:color="auto" w:fill="auto"/>
          </w:tcPr>
          <w:p w:rsidR="0001025B" w:rsidRDefault="0001025B" w:rsidP="00F314CD">
            <w:pPr>
              <w:pStyle w:val="DPDIntro"/>
              <w:widowControl w:val="0"/>
              <w:spacing w:before="240"/>
              <w:jc w:val="center"/>
            </w:pPr>
            <w:proofErr w:type="spellStart"/>
            <w:r>
              <w:lastRenderedPageBreak/>
              <w:t>Non Technical</w:t>
            </w:r>
            <w:proofErr w:type="spellEnd"/>
            <w:r>
              <w:t xml:space="preserve"> Summary</w:t>
            </w:r>
          </w:p>
        </w:tc>
      </w:tr>
      <w:tr w:rsidR="0001025B" w:rsidTr="00F314CD">
        <w:tc>
          <w:tcPr>
            <w:tcW w:w="9520" w:type="dxa"/>
            <w:shd w:val="clear" w:color="auto" w:fill="auto"/>
          </w:tcPr>
          <w:p w:rsidR="0009079C" w:rsidRPr="00F314CD" w:rsidRDefault="0009079C" w:rsidP="00F314CD">
            <w:pPr>
              <w:pStyle w:val="Noindent"/>
              <w:tabs>
                <w:tab w:val="clear" w:pos="426"/>
              </w:tabs>
              <w:rPr>
                <w:rFonts w:eastAsia="MS Mincho"/>
              </w:rPr>
            </w:pPr>
          </w:p>
          <w:p w:rsidR="00913992" w:rsidRPr="00F314CD" w:rsidRDefault="0055095D" w:rsidP="00F314CD">
            <w:pPr>
              <w:pStyle w:val="Noindent"/>
              <w:tabs>
                <w:tab w:val="clear" w:pos="426"/>
              </w:tabs>
              <w:jc w:val="left"/>
              <w:rPr>
                <w:rFonts w:eastAsia="MS Mincho"/>
              </w:rPr>
            </w:pPr>
            <w:r>
              <w:rPr>
                <w:rFonts w:eastAsia="MS Mincho"/>
              </w:rPr>
              <w:t xml:space="preserve">This report concludes that the Warwick District Council </w:t>
            </w:r>
            <w:r w:rsidR="0001025B" w:rsidRPr="00F314CD">
              <w:rPr>
                <w:rFonts w:eastAsia="MS Mincho"/>
              </w:rPr>
              <w:t>Community Infrastructure Levy Charging Schedule provides an appropriate basis for the collection of the levy in the</w:t>
            </w:r>
            <w:r>
              <w:rPr>
                <w:rFonts w:eastAsia="MS Mincho"/>
              </w:rPr>
              <w:t xml:space="preserve"> area.</w:t>
            </w:r>
            <w:r w:rsidR="0001025B" w:rsidRPr="00F314CD">
              <w:rPr>
                <w:rFonts w:eastAsia="MS Mincho"/>
              </w:rPr>
              <w:t xml:space="preserve">  The Council has sufficient evidence to support the schedule and can show that the </w:t>
            </w:r>
            <w:r w:rsidR="004C3824" w:rsidRPr="00F314CD">
              <w:rPr>
                <w:rFonts w:eastAsia="MS Mincho"/>
              </w:rPr>
              <w:t xml:space="preserve">levy is set at a level that will not put the overall development of the area at risk.  </w:t>
            </w:r>
          </w:p>
          <w:p w:rsidR="00913992" w:rsidRPr="0055095D" w:rsidRDefault="00913992" w:rsidP="00F314CD">
            <w:pPr>
              <w:pStyle w:val="Noindent"/>
              <w:tabs>
                <w:tab w:val="clear" w:pos="426"/>
              </w:tabs>
              <w:jc w:val="left"/>
              <w:rPr>
                <w:rFonts w:eastAsia="MS Mincho"/>
                <w:color w:val="000000" w:themeColor="text1"/>
              </w:rPr>
            </w:pPr>
          </w:p>
          <w:p w:rsidR="00913992" w:rsidRPr="0055095D" w:rsidRDefault="00D72B87" w:rsidP="00F314CD">
            <w:pPr>
              <w:pStyle w:val="Noindent"/>
              <w:tabs>
                <w:tab w:val="clear" w:pos="426"/>
              </w:tabs>
              <w:jc w:val="left"/>
              <w:rPr>
                <w:rFonts w:eastAsia="MS Mincho"/>
                <w:color w:val="000000" w:themeColor="text1"/>
              </w:rPr>
            </w:pPr>
            <w:r>
              <w:rPr>
                <w:rFonts w:eastAsia="MS Mincho"/>
                <w:color w:val="000000" w:themeColor="text1"/>
              </w:rPr>
              <w:t>Three</w:t>
            </w:r>
            <w:r w:rsidR="00187352">
              <w:rPr>
                <w:rFonts w:eastAsia="MS Mincho"/>
                <w:color w:val="000000" w:themeColor="text1"/>
              </w:rPr>
              <w:t xml:space="preserve"> </w:t>
            </w:r>
            <w:r w:rsidR="0090530A" w:rsidRPr="0055095D">
              <w:rPr>
                <w:rFonts w:eastAsia="MS Mincho"/>
                <w:color w:val="000000" w:themeColor="text1"/>
              </w:rPr>
              <w:t>modification</w:t>
            </w:r>
            <w:r w:rsidR="00187352">
              <w:rPr>
                <w:rFonts w:eastAsia="MS Mincho"/>
                <w:color w:val="000000" w:themeColor="text1"/>
              </w:rPr>
              <w:t>s</w:t>
            </w:r>
            <w:r w:rsidR="00913992" w:rsidRPr="0055095D">
              <w:rPr>
                <w:rFonts w:eastAsia="MS Mincho"/>
                <w:color w:val="000000" w:themeColor="text1"/>
              </w:rPr>
              <w:t xml:space="preserve"> </w:t>
            </w:r>
            <w:r w:rsidR="00187352">
              <w:rPr>
                <w:rFonts w:eastAsia="MS Mincho"/>
                <w:color w:val="000000" w:themeColor="text1"/>
              </w:rPr>
              <w:t>are</w:t>
            </w:r>
            <w:r w:rsidR="00913992" w:rsidRPr="0055095D">
              <w:rPr>
                <w:rFonts w:eastAsia="MS Mincho"/>
                <w:color w:val="000000" w:themeColor="text1"/>
              </w:rPr>
              <w:t xml:space="preserve"> needed to meet </w:t>
            </w:r>
            <w:r w:rsidR="00B65122" w:rsidRPr="0055095D">
              <w:rPr>
                <w:rFonts w:eastAsia="MS Mincho"/>
                <w:color w:val="000000" w:themeColor="text1"/>
              </w:rPr>
              <w:t xml:space="preserve">the </w:t>
            </w:r>
            <w:r w:rsidR="00913992" w:rsidRPr="0055095D">
              <w:rPr>
                <w:rFonts w:eastAsia="MS Mincho"/>
                <w:color w:val="000000" w:themeColor="text1"/>
              </w:rPr>
              <w:t>statutory requir</w:t>
            </w:r>
            <w:r w:rsidR="00B65122" w:rsidRPr="0055095D">
              <w:rPr>
                <w:rFonts w:eastAsia="MS Mincho"/>
                <w:color w:val="000000" w:themeColor="text1"/>
              </w:rPr>
              <w:t>e</w:t>
            </w:r>
            <w:r w:rsidR="00913992" w:rsidRPr="0055095D">
              <w:rPr>
                <w:rFonts w:eastAsia="MS Mincho"/>
                <w:color w:val="000000" w:themeColor="text1"/>
              </w:rPr>
              <w:t xml:space="preserve">ments. </w:t>
            </w:r>
            <w:r w:rsidR="00187352">
              <w:rPr>
                <w:rFonts w:eastAsia="MS Mincho"/>
                <w:color w:val="000000" w:themeColor="text1"/>
              </w:rPr>
              <w:t xml:space="preserve"> </w:t>
            </w:r>
            <w:r w:rsidR="00913992" w:rsidRPr="0055095D">
              <w:rPr>
                <w:rFonts w:eastAsia="MS Mincho"/>
                <w:color w:val="000000" w:themeColor="text1"/>
              </w:rPr>
              <w:t>Th</w:t>
            </w:r>
            <w:r w:rsidR="00187352">
              <w:rPr>
                <w:rFonts w:eastAsia="MS Mincho"/>
                <w:color w:val="000000" w:themeColor="text1"/>
              </w:rPr>
              <w:t>e</w:t>
            </w:r>
            <w:r w:rsidR="00913992" w:rsidRPr="0055095D">
              <w:rPr>
                <w:rFonts w:eastAsia="MS Mincho"/>
                <w:color w:val="000000" w:themeColor="text1"/>
              </w:rPr>
              <w:t>s</w:t>
            </w:r>
            <w:r w:rsidR="00187352">
              <w:rPr>
                <w:rFonts w:eastAsia="MS Mincho"/>
                <w:color w:val="000000" w:themeColor="text1"/>
              </w:rPr>
              <w:t>e</w:t>
            </w:r>
            <w:r w:rsidR="00913992" w:rsidRPr="0055095D">
              <w:rPr>
                <w:rFonts w:eastAsia="MS Mincho"/>
                <w:color w:val="000000" w:themeColor="text1"/>
              </w:rPr>
              <w:t xml:space="preserve"> can be sum</w:t>
            </w:r>
            <w:r w:rsidR="00B65122" w:rsidRPr="0055095D">
              <w:rPr>
                <w:rFonts w:eastAsia="MS Mincho"/>
                <w:color w:val="000000" w:themeColor="text1"/>
              </w:rPr>
              <w:t>marised</w:t>
            </w:r>
            <w:r w:rsidR="00913992" w:rsidRPr="0055095D">
              <w:rPr>
                <w:rFonts w:eastAsia="MS Mincho"/>
                <w:color w:val="000000" w:themeColor="text1"/>
              </w:rPr>
              <w:t xml:space="preserve"> a</w:t>
            </w:r>
            <w:r w:rsidR="00B65122" w:rsidRPr="0055095D">
              <w:rPr>
                <w:rFonts w:eastAsia="MS Mincho"/>
                <w:color w:val="000000" w:themeColor="text1"/>
              </w:rPr>
              <w:t>s</w:t>
            </w:r>
            <w:r w:rsidR="00913992" w:rsidRPr="0055095D">
              <w:rPr>
                <w:rFonts w:eastAsia="MS Mincho"/>
                <w:color w:val="000000" w:themeColor="text1"/>
              </w:rPr>
              <w:t xml:space="preserve"> follows:</w:t>
            </w:r>
          </w:p>
          <w:p w:rsidR="00913992" w:rsidRPr="0055095D" w:rsidRDefault="00913992" w:rsidP="00F314CD">
            <w:pPr>
              <w:pStyle w:val="Noindent"/>
              <w:tabs>
                <w:tab w:val="clear" w:pos="426"/>
              </w:tabs>
              <w:jc w:val="left"/>
              <w:rPr>
                <w:rFonts w:eastAsia="MS Mincho"/>
                <w:color w:val="000000" w:themeColor="text1"/>
              </w:rPr>
            </w:pPr>
          </w:p>
          <w:p w:rsidR="004C3824" w:rsidRDefault="00D72B87" w:rsidP="00F314CD">
            <w:pPr>
              <w:pStyle w:val="Noindent"/>
              <w:numPr>
                <w:ilvl w:val="0"/>
                <w:numId w:val="40"/>
              </w:numPr>
              <w:tabs>
                <w:tab w:val="clear" w:pos="426"/>
              </w:tabs>
              <w:jc w:val="left"/>
              <w:rPr>
                <w:rFonts w:eastAsia="MS Mincho"/>
                <w:color w:val="000000" w:themeColor="text1"/>
              </w:rPr>
            </w:pPr>
            <w:r>
              <w:rPr>
                <w:rFonts w:eastAsia="MS Mincho"/>
                <w:color w:val="000000" w:themeColor="text1"/>
              </w:rPr>
              <w:t xml:space="preserve">Clarification of </w:t>
            </w:r>
            <w:r w:rsidR="000F669E">
              <w:rPr>
                <w:rFonts w:eastAsia="MS Mincho"/>
                <w:color w:val="000000" w:themeColor="text1"/>
              </w:rPr>
              <w:t xml:space="preserve">the </w:t>
            </w:r>
            <w:r w:rsidR="00DF2522">
              <w:rPr>
                <w:rFonts w:eastAsia="MS Mincho"/>
                <w:color w:val="000000" w:themeColor="text1"/>
              </w:rPr>
              <w:t xml:space="preserve">application of </w:t>
            </w:r>
            <w:r>
              <w:rPr>
                <w:rFonts w:eastAsia="MS Mincho"/>
                <w:color w:val="000000" w:themeColor="text1"/>
              </w:rPr>
              <w:t>retail charging rates.</w:t>
            </w:r>
          </w:p>
          <w:p w:rsidR="00D72B87" w:rsidRDefault="00D72B87" w:rsidP="00F314CD">
            <w:pPr>
              <w:pStyle w:val="Noindent"/>
              <w:numPr>
                <w:ilvl w:val="0"/>
                <w:numId w:val="40"/>
              </w:numPr>
              <w:tabs>
                <w:tab w:val="clear" w:pos="426"/>
              </w:tabs>
              <w:jc w:val="left"/>
              <w:rPr>
                <w:rFonts w:eastAsia="MS Mincho"/>
                <w:color w:val="000000" w:themeColor="text1"/>
              </w:rPr>
            </w:pPr>
            <w:r>
              <w:rPr>
                <w:rFonts w:eastAsia="MS Mincho"/>
                <w:color w:val="000000" w:themeColor="text1"/>
              </w:rPr>
              <w:t xml:space="preserve">Inclusion of Leamington Prime Retail Zone on </w:t>
            </w:r>
            <w:r w:rsidR="0079672D">
              <w:rPr>
                <w:rFonts w:eastAsia="MS Mincho"/>
                <w:color w:val="000000" w:themeColor="text1"/>
              </w:rPr>
              <w:t xml:space="preserve">the </w:t>
            </w:r>
            <w:r>
              <w:rPr>
                <w:rFonts w:eastAsia="MS Mincho"/>
                <w:color w:val="000000" w:themeColor="text1"/>
              </w:rPr>
              <w:t>zoning map.</w:t>
            </w:r>
          </w:p>
          <w:p w:rsidR="00D72B87" w:rsidRPr="0055095D" w:rsidRDefault="008E1D8A" w:rsidP="00F314CD">
            <w:pPr>
              <w:pStyle w:val="Noindent"/>
              <w:numPr>
                <w:ilvl w:val="0"/>
                <w:numId w:val="40"/>
              </w:numPr>
              <w:tabs>
                <w:tab w:val="clear" w:pos="426"/>
              </w:tabs>
              <w:jc w:val="left"/>
              <w:rPr>
                <w:rFonts w:eastAsia="MS Mincho"/>
                <w:color w:val="000000" w:themeColor="text1"/>
              </w:rPr>
            </w:pPr>
            <w:r>
              <w:rPr>
                <w:rFonts w:eastAsia="MS Mincho"/>
                <w:color w:val="000000" w:themeColor="text1"/>
              </w:rPr>
              <w:t>Inclusion of Hampton Magna within residential charging zone A, as originally proposed in the draft charging schedule.</w:t>
            </w:r>
          </w:p>
          <w:p w:rsidR="00913992" w:rsidRPr="0055095D" w:rsidRDefault="00913992" w:rsidP="00F314CD">
            <w:pPr>
              <w:pStyle w:val="Noindent"/>
              <w:tabs>
                <w:tab w:val="clear" w:pos="426"/>
              </w:tabs>
              <w:jc w:val="left"/>
              <w:rPr>
                <w:rFonts w:eastAsia="MS Mincho"/>
                <w:color w:val="000000" w:themeColor="text1"/>
              </w:rPr>
            </w:pPr>
          </w:p>
          <w:p w:rsidR="00913992" w:rsidRPr="0055095D" w:rsidRDefault="0090530A" w:rsidP="00F314CD">
            <w:pPr>
              <w:pStyle w:val="Noindent"/>
              <w:tabs>
                <w:tab w:val="clear" w:pos="426"/>
              </w:tabs>
              <w:jc w:val="left"/>
              <w:rPr>
                <w:rFonts w:eastAsia="MS Mincho"/>
                <w:color w:val="000000" w:themeColor="text1"/>
              </w:rPr>
            </w:pPr>
            <w:r w:rsidRPr="0055095D">
              <w:rPr>
                <w:rFonts w:eastAsia="MS Mincho"/>
                <w:color w:val="000000" w:themeColor="text1"/>
              </w:rPr>
              <w:t>The specified modification</w:t>
            </w:r>
            <w:r w:rsidR="00D72B87">
              <w:rPr>
                <w:rFonts w:eastAsia="MS Mincho"/>
                <w:color w:val="000000" w:themeColor="text1"/>
              </w:rPr>
              <w:t>s</w:t>
            </w:r>
            <w:r w:rsidRPr="0055095D">
              <w:rPr>
                <w:rFonts w:eastAsia="MS Mincho"/>
                <w:color w:val="000000" w:themeColor="text1"/>
              </w:rPr>
              <w:t xml:space="preserve"> recommended in this report </w:t>
            </w:r>
            <w:r w:rsidR="00D72B87">
              <w:rPr>
                <w:rFonts w:eastAsia="MS Mincho"/>
                <w:color w:val="000000" w:themeColor="text1"/>
              </w:rPr>
              <w:t>are</w:t>
            </w:r>
            <w:r w:rsidRPr="0055095D">
              <w:rPr>
                <w:rFonts w:eastAsia="MS Mincho"/>
                <w:color w:val="000000" w:themeColor="text1"/>
              </w:rPr>
              <w:t xml:space="preserve"> based on matters discussed during the public hearing</w:t>
            </w:r>
            <w:r w:rsidR="006B26A4" w:rsidRPr="0055095D">
              <w:rPr>
                <w:rFonts w:eastAsia="MS Mincho"/>
                <w:color w:val="000000" w:themeColor="text1"/>
              </w:rPr>
              <w:t xml:space="preserve"> </w:t>
            </w:r>
            <w:r w:rsidRPr="0055095D">
              <w:rPr>
                <w:rFonts w:eastAsia="MS Mincho"/>
                <w:color w:val="000000" w:themeColor="text1"/>
              </w:rPr>
              <w:t>s</w:t>
            </w:r>
            <w:r w:rsidR="006B26A4" w:rsidRPr="0055095D">
              <w:rPr>
                <w:rFonts w:eastAsia="MS Mincho"/>
                <w:color w:val="000000" w:themeColor="text1"/>
              </w:rPr>
              <w:t>ession</w:t>
            </w:r>
            <w:r w:rsidRPr="0055095D">
              <w:rPr>
                <w:rFonts w:eastAsia="MS Mincho"/>
                <w:color w:val="000000" w:themeColor="text1"/>
              </w:rPr>
              <w:t xml:space="preserve"> and do not </w:t>
            </w:r>
            <w:r w:rsidR="0079672D">
              <w:rPr>
                <w:rFonts w:eastAsia="MS Mincho"/>
                <w:color w:val="000000" w:themeColor="text1"/>
              </w:rPr>
              <w:t xml:space="preserve">significantly </w:t>
            </w:r>
            <w:r w:rsidRPr="0055095D">
              <w:rPr>
                <w:rFonts w:eastAsia="MS Mincho"/>
                <w:color w:val="000000" w:themeColor="text1"/>
              </w:rPr>
              <w:t>alter the basis of the Council’s overall approach or the appropriate balance achieved.</w:t>
            </w:r>
          </w:p>
          <w:p w:rsidR="0009079C" w:rsidRPr="00F314CD" w:rsidRDefault="0009079C" w:rsidP="00F314CD">
            <w:pPr>
              <w:pStyle w:val="Noindent"/>
              <w:tabs>
                <w:tab w:val="clear" w:pos="426"/>
              </w:tabs>
              <w:rPr>
                <w:rFonts w:eastAsia="MS Mincho"/>
                <w:szCs w:val="24"/>
              </w:rPr>
            </w:pPr>
          </w:p>
        </w:tc>
      </w:tr>
    </w:tbl>
    <w:p w:rsidR="0001025B" w:rsidRDefault="0001025B" w:rsidP="00AA258E">
      <w:pPr>
        <w:pStyle w:val="DPDIntro"/>
        <w:widowControl w:val="0"/>
      </w:pPr>
    </w:p>
    <w:p w:rsidR="001453B0" w:rsidRPr="00ED32F6" w:rsidRDefault="0009079C" w:rsidP="00AA258E">
      <w:pPr>
        <w:pStyle w:val="DPDIntro"/>
        <w:widowControl w:val="0"/>
      </w:pPr>
      <w:r>
        <w:t>Introduction</w:t>
      </w:r>
    </w:p>
    <w:p w:rsidR="00923CEE" w:rsidRPr="00030944" w:rsidRDefault="00923CEE" w:rsidP="00923CEE">
      <w:pPr>
        <w:pStyle w:val="DPDIntro"/>
        <w:numPr>
          <w:ilvl w:val="0"/>
          <w:numId w:val="13"/>
        </w:numPr>
        <w:rPr>
          <w:b w:val="0"/>
        </w:rPr>
      </w:pPr>
      <w:r w:rsidRPr="00030944">
        <w:rPr>
          <w:b w:val="0"/>
        </w:rPr>
        <w:t>This report contains my assessment of the</w:t>
      </w:r>
      <w:r w:rsidR="0055095D">
        <w:rPr>
          <w:b w:val="0"/>
        </w:rPr>
        <w:t xml:space="preserve"> Warwick </w:t>
      </w:r>
      <w:r w:rsidR="00187352">
        <w:rPr>
          <w:b w:val="0"/>
        </w:rPr>
        <w:t xml:space="preserve">District Council </w:t>
      </w:r>
      <w:r>
        <w:rPr>
          <w:b w:val="0"/>
        </w:rPr>
        <w:t xml:space="preserve">Community Infrastructure Levy (CIL) Charging Schedule </w:t>
      </w:r>
      <w:r w:rsidRPr="00030944">
        <w:rPr>
          <w:b w:val="0"/>
        </w:rPr>
        <w:t>in terms of Section 2</w:t>
      </w:r>
      <w:r>
        <w:rPr>
          <w:b w:val="0"/>
        </w:rPr>
        <w:t>12</w:t>
      </w:r>
      <w:r w:rsidRPr="00030944">
        <w:rPr>
          <w:b w:val="0"/>
        </w:rPr>
        <w:t xml:space="preserve"> of the Planning Act 200</w:t>
      </w:r>
      <w:r>
        <w:rPr>
          <w:b w:val="0"/>
        </w:rPr>
        <w:t>8</w:t>
      </w:r>
      <w:r w:rsidRPr="00030944">
        <w:rPr>
          <w:b w:val="0"/>
        </w:rPr>
        <w:t>.</w:t>
      </w:r>
      <w:r>
        <w:rPr>
          <w:b w:val="0"/>
        </w:rPr>
        <w:t xml:space="preserve"> </w:t>
      </w:r>
      <w:r w:rsidRPr="00030944">
        <w:rPr>
          <w:b w:val="0"/>
        </w:rPr>
        <w:t xml:space="preserve"> It considers whether the </w:t>
      </w:r>
      <w:r>
        <w:rPr>
          <w:b w:val="0"/>
        </w:rPr>
        <w:t>schedule</w:t>
      </w:r>
      <w:r w:rsidRPr="00030944">
        <w:rPr>
          <w:b w:val="0"/>
        </w:rPr>
        <w:t xml:space="preserve"> is compliant in legal terms and whether it is </w:t>
      </w:r>
      <w:r>
        <w:rPr>
          <w:b w:val="0"/>
        </w:rPr>
        <w:t xml:space="preserve">economically viable as well as reasonable, realistic </w:t>
      </w:r>
      <w:r w:rsidRPr="00030944">
        <w:rPr>
          <w:b w:val="0"/>
        </w:rPr>
        <w:t xml:space="preserve">and consistent with national </w:t>
      </w:r>
      <w:r>
        <w:rPr>
          <w:b w:val="0"/>
        </w:rPr>
        <w:t>guidance</w:t>
      </w:r>
      <w:r w:rsidRPr="00030944">
        <w:rPr>
          <w:b w:val="0"/>
        </w:rPr>
        <w:t xml:space="preserve">. </w:t>
      </w:r>
    </w:p>
    <w:p w:rsidR="00217096" w:rsidRDefault="00923CEE" w:rsidP="00923CEE">
      <w:pPr>
        <w:pStyle w:val="DPDIntro"/>
        <w:numPr>
          <w:ilvl w:val="0"/>
          <w:numId w:val="13"/>
        </w:numPr>
        <w:rPr>
          <w:b w:val="0"/>
          <w:color w:val="000000" w:themeColor="text1"/>
        </w:rPr>
      </w:pPr>
      <w:r w:rsidRPr="00217096">
        <w:rPr>
          <w:b w:val="0"/>
        </w:rPr>
        <w:t>T</w:t>
      </w:r>
      <w:r w:rsidR="004C3824" w:rsidRPr="00217096">
        <w:rPr>
          <w:b w:val="0"/>
        </w:rPr>
        <w:t xml:space="preserve">o comply with the relevant legislation the </w:t>
      </w:r>
      <w:r w:rsidRPr="00217096">
        <w:rPr>
          <w:b w:val="0"/>
        </w:rPr>
        <w:t xml:space="preserve">local charging authority has </w:t>
      </w:r>
      <w:r w:rsidR="004C3824" w:rsidRPr="00217096">
        <w:rPr>
          <w:b w:val="0"/>
        </w:rPr>
        <w:t xml:space="preserve">to </w:t>
      </w:r>
      <w:r w:rsidRPr="00217096">
        <w:rPr>
          <w:b w:val="0"/>
        </w:rPr>
        <w:t xml:space="preserve">submit a </w:t>
      </w:r>
      <w:r w:rsidR="004C3824" w:rsidRPr="00217096">
        <w:rPr>
          <w:b w:val="0"/>
        </w:rPr>
        <w:t xml:space="preserve">charging </w:t>
      </w:r>
      <w:r w:rsidRPr="00217096">
        <w:rPr>
          <w:b w:val="0"/>
        </w:rPr>
        <w:t xml:space="preserve">schedule </w:t>
      </w:r>
      <w:r w:rsidR="004C3824" w:rsidRPr="00217096">
        <w:rPr>
          <w:b w:val="0"/>
        </w:rPr>
        <w:t>which sets an</w:t>
      </w:r>
      <w:r w:rsidRPr="00217096">
        <w:rPr>
          <w:b w:val="0"/>
        </w:rPr>
        <w:t xml:space="preserve"> appropriate balance between helping to fund necessary new infrastructure and the potential effects on the economic viability of development across the district.  The basis for the examination, </w:t>
      </w:r>
      <w:r w:rsidR="00674B59" w:rsidRPr="00217096">
        <w:rPr>
          <w:b w:val="0"/>
        </w:rPr>
        <w:t xml:space="preserve">for </w:t>
      </w:r>
      <w:r w:rsidR="00913992" w:rsidRPr="00217096">
        <w:rPr>
          <w:b w:val="0"/>
          <w:color w:val="000000" w:themeColor="text1"/>
        </w:rPr>
        <w:t>wh</w:t>
      </w:r>
      <w:r w:rsidRPr="00217096">
        <w:rPr>
          <w:b w:val="0"/>
          <w:color w:val="000000" w:themeColor="text1"/>
        </w:rPr>
        <w:t>i</w:t>
      </w:r>
      <w:r w:rsidR="00913992" w:rsidRPr="00217096">
        <w:rPr>
          <w:b w:val="0"/>
          <w:color w:val="000000" w:themeColor="text1"/>
        </w:rPr>
        <w:t xml:space="preserve">ch </w:t>
      </w:r>
      <w:r w:rsidR="00674B59" w:rsidRPr="00217096">
        <w:rPr>
          <w:b w:val="0"/>
          <w:color w:val="000000" w:themeColor="text1"/>
        </w:rPr>
        <w:t xml:space="preserve">a </w:t>
      </w:r>
      <w:r w:rsidR="00913992" w:rsidRPr="00217096">
        <w:rPr>
          <w:b w:val="0"/>
          <w:color w:val="000000" w:themeColor="text1"/>
        </w:rPr>
        <w:t>hearing session w</w:t>
      </w:r>
      <w:r w:rsidR="00674B59" w:rsidRPr="00217096">
        <w:rPr>
          <w:b w:val="0"/>
          <w:color w:val="000000" w:themeColor="text1"/>
        </w:rPr>
        <w:t>as held on 6 July 2017,</w:t>
      </w:r>
      <w:r w:rsidR="00913992" w:rsidRPr="00217096">
        <w:rPr>
          <w:b w:val="0"/>
          <w:color w:val="000000" w:themeColor="text1"/>
        </w:rPr>
        <w:t xml:space="preserve"> is </w:t>
      </w:r>
      <w:r w:rsidRPr="00217096">
        <w:rPr>
          <w:b w:val="0"/>
          <w:color w:val="000000" w:themeColor="text1"/>
        </w:rPr>
        <w:t xml:space="preserve">the submitted schedule of </w:t>
      </w:r>
      <w:r w:rsidR="00674B59" w:rsidRPr="00217096">
        <w:rPr>
          <w:b w:val="0"/>
          <w:color w:val="000000" w:themeColor="text1"/>
        </w:rPr>
        <w:t>28 April 2017</w:t>
      </w:r>
      <w:r w:rsidR="003542F3" w:rsidRPr="00217096">
        <w:rPr>
          <w:b w:val="0"/>
          <w:color w:val="000000" w:themeColor="text1"/>
        </w:rPr>
        <w:t xml:space="preserve"> together with modifications that were the subject of a post-su</w:t>
      </w:r>
      <w:r w:rsidR="004B03CF" w:rsidRPr="00217096">
        <w:rPr>
          <w:b w:val="0"/>
          <w:color w:val="000000" w:themeColor="text1"/>
        </w:rPr>
        <w:t xml:space="preserve">bmission consultation exercise </w:t>
      </w:r>
      <w:r w:rsidR="003542F3" w:rsidRPr="00217096">
        <w:rPr>
          <w:b w:val="0"/>
          <w:color w:val="000000" w:themeColor="text1"/>
        </w:rPr>
        <w:t xml:space="preserve">between 19 May and 16 June 2017. </w:t>
      </w:r>
      <w:r w:rsidR="00C71BCF" w:rsidRPr="00217096">
        <w:rPr>
          <w:b w:val="0"/>
          <w:color w:val="000000" w:themeColor="text1"/>
        </w:rPr>
        <w:t xml:space="preserve"> </w:t>
      </w:r>
      <w:r w:rsidR="00E05553">
        <w:rPr>
          <w:b w:val="0"/>
          <w:color w:val="000000" w:themeColor="text1"/>
        </w:rPr>
        <w:t xml:space="preserve"> To be clear, it is the schedule </w:t>
      </w:r>
      <w:r w:rsidR="00E05553" w:rsidRPr="00530931">
        <w:rPr>
          <w:b w:val="0"/>
          <w:color w:val="000000" w:themeColor="text1"/>
        </w:rPr>
        <w:t xml:space="preserve">as </w:t>
      </w:r>
      <w:r w:rsidR="00530931" w:rsidRPr="00530931">
        <w:rPr>
          <w:b w:val="0"/>
          <w:color w:val="000000" w:themeColor="text1"/>
        </w:rPr>
        <w:t xml:space="preserve">proposed to </w:t>
      </w:r>
      <w:r w:rsidR="0079672D">
        <w:rPr>
          <w:b w:val="0"/>
          <w:color w:val="000000" w:themeColor="text1"/>
        </w:rPr>
        <w:t xml:space="preserve">be </w:t>
      </w:r>
      <w:r w:rsidR="00E05553" w:rsidRPr="00530931">
        <w:rPr>
          <w:b w:val="0"/>
          <w:color w:val="000000" w:themeColor="text1"/>
        </w:rPr>
        <w:t>modified</w:t>
      </w:r>
      <w:r w:rsidR="000D6967" w:rsidRPr="00530931">
        <w:rPr>
          <w:b w:val="0"/>
          <w:color w:val="000000" w:themeColor="text1"/>
        </w:rPr>
        <w:t xml:space="preserve"> </w:t>
      </w:r>
      <w:r w:rsidR="00530931" w:rsidRPr="00530931">
        <w:rPr>
          <w:b w:val="0"/>
          <w:color w:val="000000" w:themeColor="text1"/>
        </w:rPr>
        <w:t>in the Stateme</w:t>
      </w:r>
      <w:r w:rsidR="00530931">
        <w:rPr>
          <w:b w:val="0"/>
          <w:color w:val="000000" w:themeColor="text1"/>
        </w:rPr>
        <w:t>n</w:t>
      </w:r>
      <w:r w:rsidR="00530931" w:rsidRPr="00530931">
        <w:rPr>
          <w:b w:val="0"/>
          <w:color w:val="000000" w:themeColor="text1"/>
        </w:rPr>
        <w:t xml:space="preserve">t of Modifications issued </w:t>
      </w:r>
      <w:r w:rsidR="00530931">
        <w:rPr>
          <w:b w:val="0"/>
          <w:color w:val="000000" w:themeColor="text1"/>
        </w:rPr>
        <w:t>i</w:t>
      </w:r>
      <w:r w:rsidR="00530931" w:rsidRPr="00530931">
        <w:rPr>
          <w:b w:val="0"/>
          <w:color w:val="000000" w:themeColor="text1"/>
        </w:rPr>
        <w:t xml:space="preserve">n </w:t>
      </w:r>
      <w:r w:rsidR="00530931">
        <w:rPr>
          <w:b w:val="0"/>
          <w:color w:val="000000" w:themeColor="text1"/>
        </w:rPr>
        <w:t>M</w:t>
      </w:r>
      <w:r w:rsidR="00530931" w:rsidRPr="00530931">
        <w:rPr>
          <w:b w:val="0"/>
          <w:color w:val="000000" w:themeColor="text1"/>
        </w:rPr>
        <w:t>ay 2017</w:t>
      </w:r>
      <w:r w:rsidR="00E05553">
        <w:rPr>
          <w:b w:val="0"/>
          <w:color w:val="000000" w:themeColor="text1"/>
        </w:rPr>
        <w:t xml:space="preserve"> that is the subject of this examination.</w:t>
      </w:r>
    </w:p>
    <w:p w:rsidR="003542F3" w:rsidRPr="00217096" w:rsidRDefault="003542F3" w:rsidP="00923CEE">
      <w:pPr>
        <w:pStyle w:val="DPDIntro"/>
        <w:numPr>
          <w:ilvl w:val="0"/>
          <w:numId w:val="13"/>
        </w:numPr>
        <w:rPr>
          <w:b w:val="0"/>
          <w:color w:val="000000" w:themeColor="text1"/>
        </w:rPr>
      </w:pPr>
      <w:r w:rsidRPr="00217096">
        <w:rPr>
          <w:b w:val="0"/>
          <w:color w:val="000000" w:themeColor="text1"/>
        </w:rPr>
        <w:t xml:space="preserve">The </w:t>
      </w:r>
      <w:r w:rsidR="0041295B">
        <w:rPr>
          <w:b w:val="0"/>
          <w:color w:val="000000" w:themeColor="text1"/>
        </w:rPr>
        <w:t xml:space="preserve">May 2017 </w:t>
      </w:r>
      <w:r w:rsidR="000D6967">
        <w:rPr>
          <w:b w:val="0"/>
          <w:color w:val="000000" w:themeColor="text1"/>
        </w:rPr>
        <w:t>p</w:t>
      </w:r>
      <w:r w:rsidR="0041295B">
        <w:rPr>
          <w:b w:val="0"/>
          <w:color w:val="000000" w:themeColor="text1"/>
        </w:rPr>
        <w:t>ost</w:t>
      </w:r>
      <w:r w:rsidR="000D6967">
        <w:rPr>
          <w:b w:val="0"/>
          <w:color w:val="000000" w:themeColor="text1"/>
        </w:rPr>
        <w:t xml:space="preserve">-submission </w:t>
      </w:r>
      <w:r w:rsidRPr="00217096">
        <w:rPr>
          <w:b w:val="0"/>
          <w:color w:val="000000" w:themeColor="text1"/>
        </w:rPr>
        <w:t>modifications include</w:t>
      </w:r>
      <w:r w:rsidR="00E05553">
        <w:rPr>
          <w:b w:val="0"/>
          <w:color w:val="000000" w:themeColor="text1"/>
        </w:rPr>
        <w:t>d</w:t>
      </w:r>
      <w:r w:rsidRPr="00217096">
        <w:rPr>
          <w:b w:val="0"/>
          <w:color w:val="000000" w:themeColor="text1"/>
        </w:rPr>
        <w:t xml:space="preserve"> a number of changes to the document that was published for public consultation in January 2017 under regulation 16(2) of the Community Infrastructure Levy (CIL) Regulations 2010 (as amended).  In summary these are as follows:</w:t>
      </w:r>
    </w:p>
    <w:p w:rsidR="003542F3" w:rsidRDefault="004B03CF" w:rsidP="003542F3">
      <w:pPr>
        <w:pStyle w:val="DPDIntro"/>
        <w:numPr>
          <w:ilvl w:val="1"/>
          <w:numId w:val="13"/>
        </w:numPr>
        <w:rPr>
          <w:b w:val="0"/>
          <w:color w:val="000000" w:themeColor="text1"/>
        </w:rPr>
      </w:pPr>
      <w:r>
        <w:rPr>
          <w:b w:val="0"/>
          <w:color w:val="000000" w:themeColor="text1"/>
        </w:rPr>
        <w:t>Listing the strategic housing sites within which a specific charge will be levied for residential development.</w:t>
      </w:r>
    </w:p>
    <w:p w:rsidR="004B03CF" w:rsidRDefault="004B03CF" w:rsidP="003542F3">
      <w:pPr>
        <w:pStyle w:val="DPDIntro"/>
        <w:numPr>
          <w:ilvl w:val="1"/>
          <w:numId w:val="13"/>
        </w:numPr>
        <w:rPr>
          <w:b w:val="0"/>
          <w:color w:val="000000" w:themeColor="text1"/>
        </w:rPr>
      </w:pPr>
      <w:r>
        <w:rPr>
          <w:b w:val="0"/>
          <w:color w:val="000000" w:themeColor="text1"/>
        </w:rPr>
        <w:t>Amending the zoning map to identify the strategic housing sites.</w:t>
      </w:r>
    </w:p>
    <w:p w:rsidR="004B03CF" w:rsidRPr="001C2C77" w:rsidRDefault="004B03CF" w:rsidP="003542F3">
      <w:pPr>
        <w:pStyle w:val="DPDIntro"/>
        <w:numPr>
          <w:ilvl w:val="1"/>
          <w:numId w:val="13"/>
        </w:numPr>
        <w:rPr>
          <w:b w:val="0"/>
          <w:color w:val="000000" w:themeColor="text1"/>
        </w:rPr>
      </w:pPr>
      <w:r w:rsidRPr="001C2C77">
        <w:rPr>
          <w:b w:val="0"/>
          <w:color w:val="000000" w:themeColor="text1"/>
        </w:rPr>
        <w:lastRenderedPageBreak/>
        <w:t>Amending the zoning map to include land to the west of the A46 at Hampton Magna within zone D rather than zone A.</w:t>
      </w:r>
      <w:r w:rsidR="0041295B" w:rsidRPr="001C2C77">
        <w:rPr>
          <w:b w:val="0"/>
          <w:color w:val="000000" w:themeColor="text1"/>
        </w:rPr>
        <w:t xml:space="preserve">  Although this change had been included in the submission charging schedule and zoning map </w:t>
      </w:r>
      <w:r w:rsidR="001C2C77" w:rsidRPr="001C2C77">
        <w:rPr>
          <w:b w:val="0"/>
          <w:color w:val="000000" w:themeColor="text1"/>
        </w:rPr>
        <w:t>as a change from the Janua</w:t>
      </w:r>
      <w:r w:rsidR="001C2C77">
        <w:rPr>
          <w:b w:val="0"/>
          <w:color w:val="000000" w:themeColor="text1"/>
        </w:rPr>
        <w:t>r</w:t>
      </w:r>
      <w:r w:rsidR="001C2C77" w:rsidRPr="001C2C77">
        <w:rPr>
          <w:b w:val="0"/>
          <w:color w:val="000000" w:themeColor="text1"/>
        </w:rPr>
        <w:t xml:space="preserve">y 2017 version, </w:t>
      </w:r>
      <w:r w:rsidR="0041295B" w:rsidRPr="001C2C77">
        <w:rPr>
          <w:b w:val="0"/>
          <w:color w:val="000000" w:themeColor="text1"/>
        </w:rPr>
        <w:t>it had not itself been subject to consultation</w:t>
      </w:r>
      <w:r w:rsidR="001C2C77">
        <w:rPr>
          <w:b w:val="0"/>
          <w:color w:val="000000" w:themeColor="text1"/>
        </w:rPr>
        <w:t xml:space="preserve"> before May 2017</w:t>
      </w:r>
      <w:r w:rsidR="0041295B" w:rsidRPr="001C2C77">
        <w:rPr>
          <w:b w:val="0"/>
          <w:color w:val="000000" w:themeColor="text1"/>
        </w:rPr>
        <w:t>.</w:t>
      </w:r>
    </w:p>
    <w:p w:rsidR="004B03CF" w:rsidRPr="00B656CA" w:rsidRDefault="004B03CF" w:rsidP="00B656CA">
      <w:pPr>
        <w:pStyle w:val="DPDIntro"/>
        <w:widowControl w:val="0"/>
        <w:numPr>
          <w:ilvl w:val="0"/>
          <w:numId w:val="13"/>
        </w:numPr>
        <w:rPr>
          <w:b w:val="0"/>
          <w:color w:val="000000" w:themeColor="text1"/>
        </w:rPr>
      </w:pPr>
      <w:r w:rsidRPr="004B03CF">
        <w:rPr>
          <w:b w:val="0"/>
          <w:color w:val="000000" w:themeColor="text1"/>
        </w:rPr>
        <w:t xml:space="preserve">In terms of residential development outside five designated strategic sites the Council proposes three charging rates as follows: zone </w:t>
      </w:r>
      <w:proofErr w:type="gramStart"/>
      <w:r w:rsidRPr="004B03CF">
        <w:rPr>
          <w:b w:val="0"/>
          <w:color w:val="000000" w:themeColor="text1"/>
        </w:rPr>
        <w:t>A</w:t>
      </w:r>
      <w:proofErr w:type="gramEnd"/>
      <w:r w:rsidRPr="004B03CF">
        <w:rPr>
          <w:b w:val="0"/>
          <w:color w:val="000000" w:themeColor="text1"/>
        </w:rPr>
        <w:t xml:space="preserve"> (</w:t>
      </w:r>
      <w:r w:rsidR="006B22C8">
        <w:rPr>
          <w:b w:val="0"/>
          <w:color w:val="000000" w:themeColor="text1"/>
        </w:rPr>
        <w:t>‘</w:t>
      </w:r>
      <w:r w:rsidRPr="004B03CF">
        <w:rPr>
          <w:b w:val="0"/>
          <w:color w:val="000000" w:themeColor="text1"/>
        </w:rPr>
        <w:t>Warwick, East Leamington and lower value rural’) £70</w:t>
      </w:r>
      <w:r w:rsidR="003E4272">
        <w:rPr>
          <w:b w:val="0"/>
          <w:color w:val="000000" w:themeColor="text1"/>
        </w:rPr>
        <w:t>/</w:t>
      </w:r>
      <w:r w:rsidRPr="004B03CF">
        <w:rPr>
          <w:b w:val="0"/>
          <w:color w:val="000000" w:themeColor="text1"/>
        </w:rPr>
        <w:t>square metre (s</w:t>
      </w:r>
      <w:r w:rsidR="002B0F71">
        <w:rPr>
          <w:b w:val="0"/>
          <w:color w:val="000000" w:themeColor="text1"/>
        </w:rPr>
        <w:t>q</w:t>
      </w:r>
      <w:r w:rsidRPr="004B03CF">
        <w:rPr>
          <w:b w:val="0"/>
          <w:color w:val="000000" w:themeColor="text1"/>
        </w:rPr>
        <w:t>m); zones B &amp; D (</w:t>
      </w:r>
      <w:r w:rsidR="00B679D2">
        <w:rPr>
          <w:b w:val="0"/>
          <w:color w:val="000000" w:themeColor="text1"/>
        </w:rPr>
        <w:t>‘</w:t>
      </w:r>
      <w:r w:rsidRPr="004B03CF">
        <w:rPr>
          <w:b w:val="0"/>
          <w:color w:val="000000" w:themeColor="text1"/>
        </w:rPr>
        <w:t>much of Leamington, Whitnash and high value rural’) £195</w:t>
      </w:r>
      <w:r w:rsidR="003E4272">
        <w:rPr>
          <w:b w:val="0"/>
          <w:color w:val="000000" w:themeColor="text1"/>
        </w:rPr>
        <w:t>/</w:t>
      </w:r>
      <w:r w:rsidRPr="004B03CF">
        <w:rPr>
          <w:b w:val="0"/>
          <w:color w:val="000000" w:themeColor="text1"/>
        </w:rPr>
        <w:t>s</w:t>
      </w:r>
      <w:r w:rsidR="002B0F71">
        <w:rPr>
          <w:b w:val="0"/>
          <w:color w:val="000000" w:themeColor="text1"/>
        </w:rPr>
        <w:t>q</w:t>
      </w:r>
      <w:r w:rsidRPr="004B03CF">
        <w:rPr>
          <w:b w:val="0"/>
          <w:color w:val="000000" w:themeColor="text1"/>
        </w:rPr>
        <w:t>m; and zone C (Kenilworth) £140</w:t>
      </w:r>
      <w:r w:rsidR="003E4272">
        <w:rPr>
          <w:b w:val="0"/>
          <w:color w:val="000000" w:themeColor="text1"/>
        </w:rPr>
        <w:t>/</w:t>
      </w:r>
      <w:r w:rsidRPr="004B03CF">
        <w:rPr>
          <w:b w:val="0"/>
          <w:color w:val="000000" w:themeColor="text1"/>
        </w:rPr>
        <w:t>s</w:t>
      </w:r>
      <w:r w:rsidR="002B0F71">
        <w:rPr>
          <w:b w:val="0"/>
          <w:color w:val="000000" w:themeColor="text1"/>
        </w:rPr>
        <w:t>q</w:t>
      </w:r>
      <w:r w:rsidRPr="004B03CF">
        <w:rPr>
          <w:b w:val="0"/>
          <w:color w:val="000000" w:themeColor="text1"/>
        </w:rPr>
        <w:t>m.  Residential development in the</w:t>
      </w:r>
      <w:r>
        <w:rPr>
          <w:b w:val="0"/>
          <w:color w:val="000000" w:themeColor="text1"/>
        </w:rPr>
        <w:t xml:space="preserve"> five strategic sites is </w:t>
      </w:r>
      <w:r w:rsidR="00B656CA">
        <w:rPr>
          <w:b w:val="0"/>
          <w:color w:val="000000" w:themeColor="text1"/>
        </w:rPr>
        <w:t xml:space="preserve">proposed to be </w:t>
      </w:r>
      <w:r>
        <w:rPr>
          <w:b w:val="0"/>
          <w:color w:val="000000" w:themeColor="text1"/>
        </w:rPr>
        <w:t>charged separately, with charges ranging from nil (site HO3 East of Whitnash) to £55 (site H42 Westwood Heath and site H43 Kings Hill).</w:t>
      </w:r>
      <w:r w:rsidR="00852C25">
        <w:rPr>
          <w:b w:val="0"/>
          <w:color w:val="000000" w:themeColor="text1"/>
        </w:rPr>
        <w:t xml:space="preserve">  A single </w:t>
      </w:r>
      <w:r w:rsidR="00B656CA">
        <w:rPr>
          <w:b w:val="0"/>
          <w:color w:val="000000" w:themeColor="text1"/>
        </w:rPr>
        <w:t>charge of £100</w:t>
      </w:r>
      <w:r w:rsidR="003E4272">
        <w:rPr>
          <w:b w:val="0"/>
          <w:color w:val="000000" w:themeColor="text1"/>
        </w:rPr>
        <w:t>/</w:t>
      </w:r>
      <w:r w:rsidR="00B656CA">
        <w:rPr>
          <w:b w:val="0"/>
          <w:color w:val="000000" w:themeColor="text1"/>
        </w:rPr>
        <w:t>s</w:t>
      </w:r>
      <w:r w:rsidR="002B0F71">
        <w:rPr>
          <w:b w:val="0"/>
          <w:color w:val="000000" w:themeColor="text1"/>
        </w:rPr>
        <w:t>q</w:t>
      </w:r>
      <w:r w:rsidR="00B656CA">
        <w:rPr>
          <w:b w:val="0"/>
          <w:color w:val="000000" w:themeColor="text1"/>
        </w:rPr>
        <w:t>m is proposed to be applied to</w:t>
      </w:r>
      <w:r w:rsidR="00852C25" w:rsidRPr="00B656CA">
        <w:rPr>
          <w:b w:val="0"/>
          <w:color w:val="000000" w:themeColor="text1"/>
        </w:rPr>
        <w:t xml:space="preserve"> student housing across the whole District.</w:t>
      </w:r>
      <w:r w:rsidRPr="00B656CA">
        <w:rPr>
          <w:b w:val="0"/>
          <w:color w:val="000000" w:themeColor="text1"/>
        </w:rPr>
        <w:t xml:space="preserve"> </w:t>
      </w:r>
    </w:p>
    <w:p w:rsidR="00B656CA" w:rsidRDefault="00852C25" w:rsidP="006D4FFD">
      <w:pPr>
        <w:pStyle w:val="DPDIntro"/>
        <w:widowControl w:val="0"/>
        <w:numPr>
          <w:ilvl w:val="0"/>
          <w:numId w:val="13"/>
        </w:numPr>
        <w:rPr>
          <w:b w:val="0"/>
          <w:color w:val="000000" w:themeColor="text1"/>
        </w:rPr>
      </w:pPr>
      <w:r>
        <w:rPr>
          <w:b w:val="0"/>
          <w:color w:val="000000" w:themeColor="text1"/>
        </w:rPr>
        <w:t>A charging rate of £105</w:t>
      </w:r>
      <w:r w:rsidR="003E4272">
        <w:rPr>
          <w:b w:val="0"/>
          <w:color w:val="000000" w:themeColor="text1"/>
        </w:rPr>
        <w:t>/</w:t>
      </w:r>
      <w:r>
        <w:rPr>
          <w:b w:val="0"/>
          <w:color w:val="000000" w:themeColor="text1"/>
        </w:rPr>
        <w:t>s</w:t>
      </w:r>
      <w:r w:rsidR="002B0F71">
        <w:rPr>
          <w:b w:val="0"/>
          <w:color w:val="000000" w:themeColor="text1"/>
        </w:rPr>
        <w:t>q</w:t>
      </w:r>
      <w:r>
        <w:rPr>
          <w:b w:val="0"/>
          <w:color w:val="000000" w:themeColor="text1"/>
        </w:rPr>
        <w:t xml:space="preserve">m </w:t>
      </w:r>
      <w:r w:rsidR="00B656CA">
        <w:rPr>
          <w:b w:val="0"/>
          <w:color w:val="000000" w:themeColor="text1"/>
        </w:rPr>
        <w:t>for</w:t>
      </w:r>
      <w:r>
        <w:rPr>
          <w:b w:val="0"/>
          <w:color w:val="000000" w:themeColor="text1"/>
        </w:rPr>
        <w:t xml:space="preserve"> </w:t>
      </w:r>
      <w:r w:rsidR="00B656CA">
        <w:rPr>
          <w:b w:val="0"/>
          <w:color w:val="000000" w:themeColor="text1"/>
        </w:rPr>
        <w:t>‘</w:t>
      </w:r>
      <w:r>
        <w:rPr>
          <w:b w:val="0"/>
          <w:color w:val="000000" w:themeColor="text1"/>
        </w:rPr>
        <w:t>convenience based supermarkets, superstores and retail parks</w:t>
      </w:r>
      <w:r w:rsidR="00B656CA">
        <w:rPr>
          <w:b w:val="0"/>
          <w:color w:val="000000" w:themeColor="text1"/>
        </w:rPr>
        <w:t>’ is proposed</w:t>
      </w:r>
      <w:r>
        <w:rPr>
          <w:b w:val="0"/>
          <w:color w:val="000000" w:themeColor="text1"/>
        </w:rPr>
        <w:t xml:space="preserve"> across the whole District.  </w:t>
      </w:r>
      <w:r w:rsidR="00B656CA">
        <w:rPr>
          <w:b w:val="0"/>
          <w:color w:val="000000" w:themeColor="text1"/>
        </w:rPr>
        <w:t>Within the prime retail area of Leamington, a cha</w:t>
      </w:r>
      <w:r w:rsidR="0079672D">
        <w:rPr>
          <w:b w:val="0"/>
          <w:color w:val="000000" w:themeColor="text1"/>
        </w:rPr>
        <w:t>r</w:t>
      </w:r>
      <w:r w:rsidR="00B656CA">
        <w:rPr>
          <w:b w:val="0"/>
          <w:color w:val="000000" w:themeColor="text1"/>
        </w:rPr>
        <w:t>ge of £65</w:t>
      </w:r>
      <w:r w:rsidR="003E4272">
        <w:rPr>
          <w:b w:val="0"/>
          <w:color w:val="000000" w:themeColor="text1"/>
        </w:rPr>
        <w:t>/</w:t>
      </w:r>
      <w:r w:rsidR="00B656CA">
        <w:rPr>
          <w:b w:val="0"/>
          <w:color w:val="000000" w:themeColor="text1"/>
        </w:rPr>
        <w:t>s</w:t>
      </w:r>
      <w:r w:rsidR="002B0F71">
        <w:rPr>
          <w:b w:val="0"/>
          <w:color w:val="000000" w:themeColor="text1"/>
        </w:rPr>
        <w:t>q</w:t>
      </w:r>
      <w:r w:rsidR="00B656CA">
        <w:rPr>
          <w:b w:val="0"/>
          <w:color w:val="000000" w:themeColor="text1"/>
        </w:rPr>
        <w:t>m is proposed for retail development.  Outside that area, a nil charge is proposed for retail development other than ‘convenience based supermarkets</w:t>
      </w:r>
      <w:r w:rsidR="009F0F3F">
        <w:rPr>
          <w:b w:val="0"/>
          <w:color w:val="000000" w:themeColor="text1"/>
        </w:rPr>
        <w:t>, superstores and retail parks’</w:t>
      </w:r>
      <w:r w:rsidR="00107AFE">
        <w:rPr>
          <w:b w:val="0"/>
          <w:color w:val="000000" w:themeColor="text1"/>
        </w:rPr>
        <w:t xml:space="preserve"> as already stated</w:t>
      </w:r>
      <w:r w:rsidR="00B656CA">
        <w:rPr>
          <w:b w:val="0"/>
          <w:color w:val="000000" w:themeColor="text1"/>
        </w:rPr>
        <w:t>.  A nil charge is also proposed for hotels, offices, industr</w:t>
      </w:r>
      <w:r w:rsidR="000F305B">
        <w:rPr>
          <w:b w:val="0"/>
          <w:color w:val="000000" w:themeColor="text1"/>
        </w:rPr>
        <w:t>ial</w:t>
      </w:r>
      <w:r w:rsidR="00B656CA">
        <w:rPr>
          <w:b w:val="0"/>
          <w:color w:val="000000" w:themeColor="text1"/>
        </w:rPr>
        <w:t xml:space="preserve"> and warehousing and </w:t>
      </w:r>
      <w:r w:rsidR="000F305B">
        <w:rPr>
          <w:b w:val="0"/>
          <w:color w:val="000000" w:themeColor="text1"/>
        </w:rPr>
        <w:t xml:space="preserve">all </w:t>
      </w:r>
      <w:r w:rsidR="00B656CA">
        <w:rPr>
          <w:b w:val="0"/>
          <w:color w:val="000000" w:themeColor="text1"/>
        </w:rPr>
        <w:t>other uses across the whole District.</w:t>
      </w:r>
    </w:p>
    <w:p w:rsidR="00DF2522" w:rsidRDefault="00A26532" w:rsidP="00530931">
      <w:pPr>
        <w:pStyle w:val="DPDIntro"/>
        <w:widowControl w:val="0"/>
        <w:numPr>
          <w:ilvl w:val="0"/>
          <w:numId w:val="13"/>
        </w:numPr>
        <w:rPr>
          <w:b w:val="0"/>
          <w:color w:val="000000" w:themeColor="text1"/>
        </w:rPr>
      </w:pPr>
      <w:r w:rsidRPr="00217096">
        <w:rPr>
          <w:b w:val="0"/>
          <w:color w:val="000000" w:themeColor="text1"/>
        </w:rPr>
        <w:t xml:space="preserve">The Council accepts, first, that the prime retail area of Leamington should be identified on the zoning map </w:t>
      </w:r>
      <w:r w:rsidR="00353DE2">
        <w:rPr>
          <w:b w:val="0"/>
          <w:color w:val="000000" w:themeColor="text1"/>
        </w:rPr>
        <w:t xml:space="preserve">– as it represents a separate charging area – </w:t>
      </w:r>
      <w:r w:rsidRPr="00217096">
        <w:rPr>
          <w:b w:val="0"/>
          <w:color w:val="000000" w:themeColor="text1"/>
        </w:rPr>
        <w:t>and, second, that the description</w:t>
      </w:r>
      <w:r w:rsidR="00297AD0" w:rsidRPr="00217096">
        <w:rPr>
          <w:b w:val="0"/>
          <w:color w:val="000000" w:themeColor="text1"/>
        </w:rPr>
        <w:t>s</w:t>
      </w:r>
      <w:r w:rsidRPr="00217096">
        <w:rPr>
          <w:b w:val="0"/>
          <w:color w:val="000000" w:themeColor="text1"/>
        </w:rPr>
        <w:t xml:space="preserve"> of the above-noted retail uses </w:t>
      </w:r>
      <w:r w:rsidR="00297AD0" w:rsidRPr="00217096">
        <w:rPr>
          <w:b w:val="0"/>
          <w:color w:val="000000" w:themeColor="text1"/>
        </w:rPr>
        <w:t xml:space="preserve">require </w:t>
      </w:r>
      <w:r w:rsidR="00A7054C">
        <w:rPr>
          <w:b w:val="0"/>
          <w:color w:val="000000" w:themeColor="text1"/>
        </w:rPr>
        <w:t>a</w:t>
      </w:r>
      <w:r w:rsidR="00297AD0" w:rsidRPr="00217096">
        <w:rPr>
          <w:b w:val="0"/>
          <w:color w:val="000000" w:themeColor="text1"/>
        </w:rPr>
        <w:t>mend</w:t>
      </w:r>
      <w:r w:rsidR="00A7054C">
        <w:rPr>
          <w:b w:val="0"/>
          <w:color w:val="000000" w:themeColor="text1"/>
        </w:rPr>
        <w:t>ing</w:t>
      </w:r>
      <w:r w:rsidR="00297AD0" w:rsidRPr="00217096">
        <w:rPr>
          <w:b w:val="0"/>
          <w:color w:val="000000" w:themeColor="text1"/>
        </w:rPr>
        <w:t xml:space="preserve"> in order to remove ambiguity about their application</w:t>
      </w:r>
      <w:r w:rsidRPr="00217096">
        <w:rPr>
          <w:b w:val="0"/>
          <w:color w:val="000000" w:themeColor="text1"/>
        </w:rPr>
        <w:t xml:space="preserve">.  </w:t>
      </w:r>
      <w:r w:rsidR="00E5439B" w:rsidRPr="00217096">
        <w:rPr>
          <w:b w:val="0"/>
          <w:color w:val="000000" w:themeColor="text1"/>
        </w:rPr>
        <w:t>I</w:t>
      </w:r>
      <w:r w:rsidR="00297AD0" w:rsidRPr="00217096">
        <w:rPr>
          <w:b w:val="0"/>
          <w:color w:val="000000" w:themeColor="text1"/>
        </w:rPr>
        <w:t> </w:t>
      </w:r>
      <w:r w:rsidR="00E5439B" w:rsidRPr="00217096">
        <w:rPr>
          <w:b w:val="0"/>
          <w:color w:val="000000" w:themeColor="text1"/>
        </w:rPr>
        <w:t xml:space="preserve">recommend modifications accordingly </w:t>
      </w:r>
      <w:r w:rsidR="00E5439B" w:rsidRPr="00217096">
        <w:rPr>
          <w:color w:val="000000" w:themeColor="text1"/>
        </w:rPr>
        <w:t>[EM1-2</w:t>
      </w:r>
      <w:r w:rsidR="009B3480">
        <w:rPr>
          <w:color w:val="000000" w:themeColor="text1"/>
        </w:rPr>
        <w:t>]</w:t>
      </w:r>
      <w:r w:rsidR="009B3480">
        <w:rPr>
          <w:b w:val="0"/>
          <w:color w:val="000000" w:themeColor="text1"/>
        </w:rPr>
        <w:t xml:space="preserve">, </w:t>
      </w:r>
      <w:r w:rsidR="001418C3">
        <w:rPr>
          <w:b w:val="0"/>
          <w:color w:val="000000" w:themeColor="text1"/>
        </w:rPr>
        <w:t>to which I return</w:t>
      </w:r>
      <w:r w:rsidR="009B3480">
        <w:rPr>
          <w:b w:val="0"/>
          <w:color w:val="000000" w:themeColor="text1"/>
        </w:rPr>
        <w:t xml:space="preserve"> below</w:t>
      </w:r>
      <w:r w:rsidR="00E5439B" w:rsidRPr="00217096">
        <w:rPr>
          <w:b w:val="0"/>
          <w:color w:val="000000" w:themeColor="text1"/>
        </w:rPr>
        <w:t xml:space="preserve">.  These changes were the subject of further consultation </w:t>
      </w:r>
      <w:r w:rsidR="00217096" w:rsidRPr="00217096">
        <w:rPr>
          <w:b w:val="0"/>
          <w:color w:val="000000" w:themeColor="text1"/>
        </w:rPr>
        <w:t>period between 24 July and 28 August 2017</w:t>
      </w:r>
      <w:r w:rsidR="00217096">
        <w:rPr>
          <w:b w:val="0"/>
          <w:color w:val="000000" w:themeColor="text1"/>
        </w:rPr>
        <w:t>, during which time other new information prepared by the Council was also available for comment</w:t>
      </w:r>
      <w:r w:rsidR="00217E9E">
        <w:rPr>
          <w:b w:val="0"/>
          <w:color w:val="000000" w:themeColor="text1"/>
        </w:rPr>
        <w:t xml:space="preserve">.  </w:t>
      </w:r>
      <w:r w:rsidR="00E5439B" w:rsidRPr="00217096">
        <w:rPr>
          <w:b w:val="0"/>
          <w:color w:val="000000" w:themeColor="text1"/>
        </w:rPr>
        <w:t>I have taken the responses</w:t>
      </w:r>
      <w:r w:rsidR="00297AD0" w:rsidRPr="00217096">
        <w:rPr>
          <w:b w:val="0"/>
          <w:color w:val="000000" w:themeColor="text1"/>
        </w:rPr>
        <w:t xml:space="preserve"> to that consultation exercise</w:t>
      </w:r>
      <w:r w:rsidR="00E5439B" w:rsidRPr="00217096">
        <w:rPr>
          <w:b w:val="0"/>
          <w:color w:val="000000" w:themeColor="text1"/>
        </w:rPr>
        <w:t xml:space="preserve"> into account</w:t>
      </w:r>
      <w:r w:rsidR="00217E9E">
        <w:rPr>
          <w:b w:val="0"/>
          <w:color w:val="000000" w:themeColor="text1"/>
        </w:rPr>
        <w:t>, along with subsequent correspondence</w:t>
      </w:r>
      <w:r w:rsidR="00D669A8">
        <w:rPr>
          <w:b w:val="0"/>
          <w:color w:val="000000" w:themeColor="text1"/>
        </w:rPr>
        <w:t xml:space="preserve"> on specific issues discussed below</w:t>
      </w:r>
      <w:r w:rsidR="00217E9E">
        <w:rPr>
          <w:b w:val="0"/>
          <w:color w:val="000000" w:themeColor="text1"/>
        </w:rPr>
        <w:t>,</w:t>
      </w:r>
      <w:r w:rsidR="00E5439B" w:rsidRPr="00217096">
        <w:rPr>
          <w:b w:val="0"/>
          <w:color w:val="000000" w:themeColor="text1"/>
        </w:rPr>
        <w:t xml:space="preserve"> in preparing this report.</w:t>
      </w:r>
      <w:r w:rsidRPr="00217096">
        <w:rPr>
          <w:b w:val="0"/>
          <w:color w:val="000000" w:themeColor="text1"/>
        </w:rPr>
        <w:t xml:space="preserve">  </w:t>
      </w:r>
    </w:p>
    <w:p w:rsidR="00D148DB" w:rsidRPr="00613246" w:rsidRDefault="00412A81" w:rsidP="00D148DB">
      <w:pPr>
        <w:pStyle w:val="DPDIntro"/>
        <w:widowControl w:val="0"/>
      </w:pPr>
      <w:r w:rsidRPr="00412A81">
        <w:t xml:space="preserve">Is the charging schedule supported by background documents containing </w:t>
      </w:r>
      <w:r w:rsidRPr="00C0796F">
        <w:t>appropriate available evidence</w:t>
      </w:r>
      <w:r w:rsidR="00D148DB" w:rsidRPr="00D148DB">
        <w:t>?</w:t>
      </w:r>
      <w:r w:rsidR="00D148DB">
        <w:rPr>
          <w:b w:val="0"/>
        </w:rPr>
        <w:t xml:space="preserve">  </w:t>
      </w:r>
      <w:r w:rsidR="00D148DB">
        <w:t xml:space="preserve">Are the charging </w:t>
      </w:r>
      <w:r w:rsidR="00D148DB" w:rsidRPr="003224B7">
        <w:t>rate</w:t>
      </w:r>
      <w:r w:rsidR="00D148DB">
        <w:t>s</w:t>
      </w:r>
      <w:r w:rsidR="00D148DB" w:rsidRPr="003224B7">
        <w:t xml:space="preserve"> </w:t>
      </w:r>
      <w:r w:rsidR="00D148DB">
        <w:t>informed by and consistent with the evidence?</w:t>
      </w:r>
    </w:p>
    <w:p w:rsidR="00057766" w:rsidRPr="002C268F" w:rsidRDefault="00BE7FEC" w:rsidP="00AA258E">
      <w:pPr>
        <w:pStyle w:val="DPDIntro"/>
        <w:widowControl w:val="0"/>
        <w:rPr>
          <w:b w:val="0"/>
          <w:i/>
        </w:rPr>
      </w:pPr>
      <w:r w:rsidRPr="002C268F">
        <w:rPr>
          <w:b w:val="0"/>
          <w:i/>
        </w:rPr>
        <w:t xml:space="preserve">Infrastructure </w:t>
      </w:r>
      <w:r w:rsidR="00455EB5" w:rsidRPr="002C268F">
        <w:rPr>
          <w:b w:val="0"/>
          <w:i/>
        </w:rPr>
        <w:t>p</w:t>
      </w:r>
      <w:r w:rsidRPr="002C268F">
        <w:rPr>
          <w:b w:val="0"/>
          <w:i/>
        </w:rPr>
        <w:t>lanning</w:t>
      </w:r>
      <w:r w:rsidR="00455EB5" w:rsidRPr="002C268F">
        <w:rPr>
          <w:b w:val="0"/>
          <w:i/>
        </w:rPr>
        <w:t xml:space="preserve"> evidence</w:t>
      </w:r>
    </w:p>
    <w:p w:rsidR="00F23F43" w:rsidRDefault="00D30B8A" w:rsidP="00F23F43">
      <w:pPr>
        <w:pStyle w:val="DPDIntro"/>
        <w:widowControl w:val="0"/>
        <w:numPr>
          <w:ilvl w:val="0"/>
          <w:numId w:val="13"/>
        </w:numPr>
        <w:rPr>
          <w:b w:val="0"/>
        </w:rPr>
      </w:pPr>
      <w:r>
        <w:rPr>
          <w:b w:val="0"/>
        </w:rPr>
        <w:t>The</w:t>
      </w:r>
      <w:r w:rsidR="00392410">
        <w:rPr>
          <w:b w:val="0"/>
        </w:rPr>
        <w:t xml:space="preserve"> </w:t>
      </w:r>
      <w:r w:rsidR="00F67DEE">
        <w:rPr>
          <w:b w:val="0"/>
        </w:rPr>
        <w:t xml:space="preserve">Warwick District Local Plan </w:t>
      </w:r>
      <w:r w:rsidR="001D1E42">
        <w:rPr>
          <w:b w:val="0"/>
        </w:rPr>
        <w:t xml:space="preserve">(LP) </w:t>
      </w:r>
      <w:r w:rsidR="006B26A4" w:rsidRPr="00F67DEE">
        <w:rPr>
          <w:b w:val="0"/>
          <w:color w:val="000000" w:themeColor="text1"/>
        </w:rPr>
        <w:t>has been</w:t>
      </w:r>
      <w:r w:rsidR="0079672D">
        <w:rPr>
          <w:b w:val="0"/>
          <w:color w:val="000000" w:themeColor="text1"/>
        </w:rPr>
        <w:t xml:space="preserve"> recently</w:t>
      </w:r>
      <w:r w:rsidR="006B26A4" w:rsidRPr="00F67DEE">
        <w:rPr>
          <w:b w:val="0"/>
          <w:color w:val="000000" w:themeColor="text1"/>
        </w:rPr>
        <w:t xml:space="preserve"> examined </w:t>
      </w:r>
      <w:r w:rsidR="001D1E42">
        <w:rPr>
          <w:b w:val="0"/>
        </w:rPr>
        <w:t>and was adopted in September 2017.</w:t>
      </w:r>
      <w:r>
        <w:rPr>
          <w:b w:val="0"/>
        </w:rPr>
        <w:t xml:space="preserve">  </w:t>
      </w:r>
      <w:r w:rsidR="001C471B">
        <w:rPr>
          <w:b w:val="0"/>
        </w:rPr>
        <w:t xml:space="preserve">This sets out </w:t>
      </w:r>
      <w:r w:rsidR="00A40217">
        <w:rPr>
          <w:b w:val="0"/>
        </w:rPr>
        <w:t>the main element</w:t>
      </w:r>
      <w:r w:rsidR="00B13613">
        <w:rPr>
          <w:b w:val="0"/>
        </w:rPr>
        <w:t>s</w:t>
      </w:r>
      <w:r w:rsidR="00A40217">
        <w:rPr>
          <w:b w:val="0"/>
        </w:rPr>
        <w:t xml:space="preserve"> of growth </w:t>
      </w:r>
      <w:r w:rsidR="00B13613">
        <w:rPr>
          <w:b w:val="0"/>
        </w:rPr>
        <w:t xml:space="preserve">that will need to be supported by further infrastructure </w:t>
      </w:r>
      <w:r w:rsidR="00A40217">
        <w:rPr>
          <w:b w:val="0"/>
        </w:rPr>
        <w:t>in</w:t>
      </w:r>
      <w:r w:rsidR="00F67DEE">
        <w:rPr>
          <w:b w:val="0"/>
        </w:rPr>
        <w:t xml:space="preserve"> the District.  An updated Infrastructure Delivery Plan (IDP) was published in May 2017</w:t>
      </w:r>
      <w:r w:rsidR="005E526F">
        <w:rPr>
          <w:b w:val="0"/>
        </w:rPr>
        <w:t xml:space="preserve">, containing </w:t>
      </w:r>
      <w:r w:rsidR="00F67DEE">
        <w:rPr>
          <w:b w:val="0"/>
        </w:rPr>
        <w:t xml:space="preserve">the key infrastructure requirements needed to support the LP along with the anticipated sources of funding.  </w:t>
      </w:r>
      <w:r w:rsidR="00331D39">
        <w:rPr>
          <w:b w:val="0"/>
        </w:rPr>
        <w:t>Following my questions on this matter, the Council clarified its position in a pre-hearing written exchange</w:t>
      </w:r>
      <w:r w:rsidR="00F268C5">
        <w:rPr>
          <w:rStyle w:val="FootnoteReference"/>
          <w:b w:val="0"/>
        </w:rPr>
        <w:footnoteReference w:id="1"/>
      </w:r>
      <w:r w:rsidR="00331D39">
        <w:rPr>
          <w:b w:val="0"/>
        </w:rPr>
        <w:t xml:space="preserve">, </w:t>
      </w:r>
      <w:r w:rsidR="00F268C5">
        <w:rPr>
          <w:b w:val="0"/>
        </w:rPr>
        <w:t xml:space="preserve">with </w:t>
      </w:r>
      <w:r w:rsidR="00331D39">
        <w:rPr>
          <w:b w:val="0"/>
        </w:rPr>
        <w:t>updates to both the IDP and the Regulation 123 list.</w:t>
      </w:r>
    </w:p>
    <w:p w:rsidR="00F23F43" w:rsidRDefault="00F67DEE" w:rsidP="00F23F43">
      <w:pPr>
        <w:pStyle w:val="DPDIntro"/>
        <w:widowControl w:val="0"/>
        <w:numPr>
          <w:ilvl w:val="0"/>
          <w:numId w:val="13"/>
        </w:numPr>
        <w:rPr>
          <w:b w:val="0"/>
        </w:rPr>
      </w:pPr>
      <w:r>
        <w:rPr>
          <w:b w:val="0"/>
        </w:rPr>
        <w:t xml:space="preserve">Several key infrastructure elements, notably a number of major road </w:t>
      </w:r>
      <w:r>
        <w:rPr>
          <w:b w:val="0"/>
        </w:rPr>
        <w:lastRenderedPageBreak/>
        <w:t>improvements on the A452 Europa Way and Leamington to Kenilworth Corridors</w:t>
      </w:r>
      <w:r w:rsidR="006052C4">
        <w:rPr>
          <w:b w:val="0"/>
        </w:rPr>
        <w:t xml:space="preserve"> and significant expenditure on new schools (for example at Kings Hill and the south of Warwick)</w:t>
      </w:r>
      <w:r>
        <w:rPr>
          <w:b w:val="0"/>
        </w:rPr>
        <w:t>, are not expected to be funded through CIL</w:t>
      </w:r>
      <w:r w:rsidR="00E65F30">
        <w:rPr>
          <w:b w:val="0"/>
        </w:rPr>
        <w:t>.  The</w:t>
      </w:r>
      <w:r>
        <w:rPr>
          <w:b w:val="0"/>
        </w:rPr>
        <w:t xml:space="preserve"> main funding sources </w:t>
      </w:r>
      <w:r w:rsidR="00E65F30">
        <w:rPr>
          <w:b w:val="0"/>
        </w:rPr>
        <w:t xml:space="preserve">for these are anticipated as </w:t>
      </w:r>
      <w:r>
        <w:rPr>
          <w:b w:val="0"/>
        </w:rPr>
        <w:t>being section 106/section 278 agreements</w:t>
      </w:r>
      <w:r w:rsidR="006052C4">
        <w:rPr>
          <w:b w:val="0"/>
        </w:rPr>
        <w:t xml:space="preserve"> together with external funding.  </w:t>
      </w:r>
    </w:p>
    <w:p w:rsidR="00675F01" w:rsidRDefault="00AF2EF0" w:rsidP="00F23F43">
      <w:pPr>
        <w:pStyle w:val="DPDIntro"/>
        <w:widowControl w:val="0"/>
        <w:numPr>
          <w:ilvl w:val="0"/>
          <w:numId w:val="13"/>
        </w:numPr>
        <w:rPr>
          <w:b w:val="0"/>
        </w:rPr>
      </w:pPr>
      <w:r>
        <w:rPr>
          <w:b w:val="0"/>
        </w:rPr>
        <w:t>Neve</w:t>
      </w:r>
      <w:r w:rsidR="00675F01">
        <w:rPr>
          <w:b w:val="0"/>
        </w:rPr>
        <w:t>r</w:t>
      </w:r>
      <w:r>
        <w:rPr>
          <w:b w:val="0"/>
        </w:rPr>
        <w:t>theless</w:t>
      </w:r>
      <w:r w:rsidR="006052C4">
        <w:rPr>
          <w:b w:val="0"/>
        </w:rPr>
        <w:t xml:space="preserve">, the overall </w:t>
      </w:r>
      <w:r w:rsidR="00675F01">
        <w:rPr>
          <w:b w:val="0"/>
        </w:rPr>
        <w:t xml:space="preserve">infrastructure </w:t>
      </w:r>
      <w:r w:rsidR="006052C4">
        <w:rPr>
          <w:b w:val="0"/>
        </w:rPr>
        <w:t>package</w:t>
      </w:r>
      <w:r w:rsidR="00B13613" w:rsidRPr="003F5960">
        <w:rPr>
          <w:b w:val="0"/>
          <w:sz w:val="24"/>
          <w:szCs w:val="24"/>
        </w:rPr>
        <w:t xml:space="preserve"> </w:t>
      </w:r>
      <w:r w:rsidR="006052C4" w:rsidRPr="006052C4">
        <w:rPr>
          <w:b w:val="0"/>
          <w:szCs w:val="22"/>
        </w:rPr>
        <w:t>– which includes other transport works (for example in Leamington South</w:t>
      </w:r>
      <w:r w:rsidR="006052C4">
        <w:rPr>
          <w:b w:val="0"/>
          <w:szCs w:val="22"/>
        </w:rPr>
        <w:t xml:space="preserve"> and town centre strategies in Leamington, Warwick and Kenilworth</w:t>
      </w:r>
      <w:r w:rsidR="006052C4" w:rsidRPr="006052C4">
        <w:rPr>
          <w:b w:val="0"/>
          <w:szCs w:val="22"/>
        </w:rPr>
        <w:t>)</w:t>
      </w:r>
      <w:r w:rsidR="006052C4">
        <w:rPr>
          <w:b w:val="0"/>
          <w:szCs w:val="22"/>
        </w:rPr>
        <w:t xml:space="preserve">, various sustainable transport schemes, other educational provision, </w:t>
      </w:r>
      <w:r w:rsidR="00334587">
        <w:rPr>
          <w:b w:val="0"/>
          <w:szCs w:val="22"/>
        </w:rPr>
        <w:t xml:space="preserve">health services, recreational and cultural provision, the emergency </w:t>
      </w:r>
      <w:r w:rsidR="00AF4E1C">
        <w:rPr>
          <w:b w:val="0"/>
          <w:szCs w:val="22"/>
        </w:rPr>
        <w:t>services, community facilities and green infrastructure – clearly exceeds the likely levels of funding.  A total funding gap of £102,923,100</w:t>
      </w:r>
      <w:r w:rsidR="009F57D5">
        <w:rPr>
          <w:b w:val="0"/>
          <w:szCs w:val="22"/>
        </w:rPr>
        <w:t xml:space="preserve"> to 2029</w:t>
      </w:r>
      <w:r w:rsidR="00AF4E1C">
        <w:rPr>
          <w:b w:val="0"/>
          <w:szCs w:val="22"/>
        </w:rPr>
        <w:t xml:space="preserve"> has been identified, against which it is anticipated that the proposed CIL charge would yield some £60,950,000. </w:t>
      </w:r>
      <w:r w:rsidR="000A3AFF">
        <w:rPr>
          <w:b w:val="0"/>
        </w:rPr>
        <w:t xml:space="preserve"> </w:t>
      </w:r>
    </w:p>
    <w:p w:rsidR="00BF56C4" w:rsidRPr="00F23F43" w:rsidRDefault="00E6227C" w:rsidP="00F23F43">
      <w:pPr>
        <w:pStyle w:val="DPDIntro"/>
        <w:widowControl w:val="0"/>
        <w:numPr>
          <w:ilvl w:val="0"/>
          <w:numId w:val="13"/>
        </w:numPr>
        <w:rPr>
          <w:b w:val="0"/>
        </w:rPr>
      </w:pPr>
      <w:r>
        <w:rPr>
          <w:b w:val="0"/>
        </w:rPr>
        <w:t>In the light of the</w:t>
      </w:r>
      <w:r w:rsidR="00520437">
        <w:rPr>
          <w:b w:val="0"/>
        </w:rPr>
        <w:t xml:space="preserve"> information </w:t>
      </w:r>
      <w:r w:rsidR="000A3AFF">
        <w:rPr>
          <w:b w:val="0"/>
        </w:rPr>
        <w:t xml:space="preserve">provided, the proposed charge would therefore make a </w:t>
      </w:r>
      <w:r w:rsidR="00B65122" w:rsidRPr="00F23F43">
        <w:rPr>
          <w:b w:val="0"/>
          <w:color w:val="000000" w:themeColor="text1"/>
        </w:rPr>
        <w:t>significant</w:t>
      </w:r>
      <w:r w:rsidR="000A3AFF">
        <w:rPr>
          <w:b w:val="0"/>
        </w:rPr>
        <w:t xml:space="preserve"> contribution to</w:t>
      </w:r>
      <w:r w:rsidR="008174D3">
        <w:rPr>
          <w:b w:val="0"/>
        </w:rPr>
        <w:t>wards filling</w:t>
      </w:r>
      <w:r w:rsidR="000A3AFF">
        <w:rPr>
          <w:b w:val="0"/>
        </w:rPr>
        <w:t xml:space="preserve"> the likely funding gap</w:t>
      </w:r>
      <w:r w:rsidR="008174D3">
        <w:rPr>
          <w:b w:val="0"/>
        </w:rPr>
        <w:t>.</w:t>
      </w:r>
      <w:r w:rsidR="00C6289B">
        <w:rPr>
          <w:b w:val="0"/>
        </w:rPr>
        <w:t xml:space="preserve">   </w:t>
      </w:r>
      <w:r w:rsidR="001759B9">
        <w:rPr>
          <w:b w:val="0"/>
        </w:rPr>
        <w:t>The figures demonstrate the need to levy CIL.</w:t>
      </w:r>
    </w:p>
    <w:p w:rsidR="000E5E1F" w:rsidRPr="002C268F" w:rsidRDefault="00BE7FEC" w:rsidP="00BE7FEC">
      <w:pPr>
        <w:pStyle w:val="DPDIntro"/>
        <w:widowControl w:val="0"/>
        <w:rPr>
          <w:b w:val="0"/>
          <w:i/>
        </w:rPr>
      </w:pPr>
      <w:r w:rsidRPr="002C268F">
        <w:rPr>
          <w:b w:val="0"/>
          <w:i/>
        </w:rPr>
        <w:t xml:space="preserve">Economic </w:t>
      </w:r>
      <w:r w:rsidR="00455EB5" w:rsidRPr="002C268F">
        <w:rPr>
          <w:b w:val="0"/>
          <w:i/>
        </w:rPr>
        <w:t>v</w:t>
      </w:r>
      <w:r w:rsidRPr="002C268F">
        <w:rPr>
          <w:b w:val="0"/>
          <w:i/>
        </w:rPr>
        <w:t>iability</w:t>
      </w:r>
      <w:r w:rsidR="00455EB5" w:rsidRPr="002C268F">
        <w:rPr>
          <w:b w:val="0"/>
          <w:i/>
        </w:rPr>
        <w:t xml:space="preserve"> evidence</w:t>
      </w:r>
      <w:r w:rsidR="00FD7CE5" w:rsidRPr="002C268F">
        <w:rPr>
          <w:b w:val="0"/>
          <w:i/>
        </w:rPr>
        <w:t xml:space="preserve"> </w:t>
      </w:r>
      <w:r w:rsidR="001C196A">
        <w:rPr>
          <w:b w:val="0"/>
          <w:i/>
        </w:rPr>
        <w:t>– Residential</w:t>
      </w:r>
    </w:p>
    <w:p w:rsidR="00466D44" w:rsidRDefault="0068673A" w:rsidP="00D148DB">
      <w:pPr>
        <w:pStyle w:val="DPDIntro"/>
        <w:widowControl w:val="0"/>
        <w:numPr>
          <w:ilvl w:val="0"/>
          <w:numId w:val="13"/>
        </w:numPr>
        <w:rPr>
          <w:b w:val="0"/>
        </w:rPr>
      </w:pPr>
      <w:r w:rsidRPr="003C016A">
        <w:rPr>
          <w:b w:val="0"/>
        </w:rPr>
        <w:t xml:space="preserve">The </w:t>
      </w:r>
      <w:r w:rsidR="00825917" w:rsidRPr="003C016A">
        <w:rPr>
          <w:b w:val="0"/>
        </w:rPr>
        <w:t xml:space="preserve">Council </w:t>
      </w:r>
      <w:r w:rsidR="00675F01">
        <w:rPr>
          <w:b w:val="0"/>
        </w:rPr>
        <w:t xml:space="preserve">has </w:t>
      </w:r>
      <w:r w:rsidR="00825917" w:rsidRPr="003C016A">
        <w:rPr>
          <w:b w:val="0"/>
        </w:rPr>
        <w:t xml:space="preserve">commissioned a </w:t>
      </w:r>
      <w:r w:rsidR="00F23F43" w:rsidRPr="003C016A">
        <w:rPr>
          <w:b w:val="0"/>
        </w:rPr>
        <w:t>number of v</w:t>
      </w:r>
      <w:r w:rsidR="00825917" w:rsidRPr="003C016A">
        <w:rPr>
          <w:b w:val="0"/>
        </w:rPr>
        <w:t xml:space="preserve">iability </w:t>
      </w:r>
      <w:r w:rsidR="00F23F43" w:rsidRPr="003C016A">
        <w:rPr>
          <w:b w:val="0"/>
        </w:rPr>
        <w:t>a</w:t>
      </w:r>
      <w:r w:rsidR="00825917" w:rsidRPr="003C016A">
        <w:rPr>
          <w:b w:val="0"/>
        </w:rPr>
        <w:t>ssessment</w:t>
      </w:r>
      <w:r w:rsidR="00F23F43" w:rsidRPr="003C016A">
        <w:rPr>
          <w:b w:val="0"/>
        </w:rPr>
        <w:t>s</w:t>
      </w:r>
      <w:r w:rsidR="00825917" w:rsidRPr="003C016A">
        <w:rPr>
          <w:b w:val="0"/>
        </w:rPr>
        <w:t xml:space="preserve">, </w:t>
      </w:r>
      <w:r w:rsidR="00675F01">
        <w:rPr>
          <w:b w:val="0"/>
        </w:rPr>
        <w:t>the most significant</w:t>
      </w:r>
      <w:r w:rsidR="00F23F43" w:rsidRPr="003C016A">
        <w:rPr>
          <w:b w:val="0"/>
        </w:rPr>
        <w:t xml:space="preserve"> being the CIL Viability Study 2016 Update (the 2016 VS)</w:t>
      </w:r>
      <w:r w:rsidR="00C01AAF" w:rsidRPr="003C016A">
        <w:rPr>
          <w:b w:val="0"/>
        </w:rPr>
        <w:t xml:space="preserve"> and the Local Plan Additional Site Options Viability Assessment (November 2015) – the </w:t>
      </w:r>
      <w:r w:rsidR="004130C5">
        <w:rPr>
          <w:b w:val="0"/>
        </w:rPr>
        <w:t xml:space="preserve">2015 </w:t>
      </w:r>
      <w:r w:rsidR="00C01AAF" w:rsidRPr="003C016A">
        <w:rPr>
          <w:b w:val="0"/>
        </w:rPr>
        <w:t>ASOVA.</w:t>
      </w:r>
      <w:r w:rsidR="00675F01">
        <w:rPr>
          <w:b w:val="0"/>
        </w:rPr>
        <w:t xml:space="preserve">  As set out below, additional assessments have been undertaken during the course of this examination.</w:t>
      </w:r>
      <w:r w:rsidR="00AE7DBE" w:rsidRPr="003C016A">
        <w:rPr>
          <w:b w:val="0"/>
        </w:rPr>
        <w:t xml:space="preserve">  The assessments use a residual valuation approach</w:t>
      </w:r>
      <w:r w:rsidR="009F4C67" w:rsidRPr="003C016A">
        <w:rPr>
          <w:b w:val="0"/>
        </w:rPr>
        <w:t xml:space="preserve">, incorporating standard assumptions for a range of factors such as residential and commercial sales values, profit levels and building costs (including where appropriate, an allowance for sustainable design).  Sales values are based on evidence of transacted properties in the area and properties on the market at the time of the relevant assessment.  </w:t>
      </w:r>
    </w:p>
    <w:p w:rsidR="003321B9" w:rsidRPr="000F1B94" w:rsidRDefault="009F4C67" w:rsidP="00D148DB">
      <w:pPr>
        <w:pStyle w:val="DPDIntro"/>
        <w:widowControl w:val="0"/>
        <w:numPr>
          <w:ilvl w:val="0"/>
          <w:numId w:val="13"/>
        </w:numPr>
        <w:rPr>
          <w:b w:val="0"/>
        </w:rPr>
      </w:pPr>
      <w:r w:rsidRPr="000F1B94">
        <w:rPr>
          <w:b w:val="0"/>
        </w:rPr>
        <w:t xml:space="preserve">Development costs are sourced from the RICS Building Cost Information Service (BCIS), </w:t>
      </w:r>
      <w:r w:rsidR="00290AB1">
        <w:rPr>
          <w:b w:val="0"/>
        </w:rPr>
        <w:t xml:space="preserve">with a weighting applied to adjust the costs to reflect local circumstances and </w:t>
      </w:r>
      <w:r w:rsidR="000F1B94" w:rsidRPr="000F1B94">
        <w:rPr>
          <w:b w:val="0"/>
        </w:rPr>
        <w:t xml:space="preserve">an </w:t>
      </w:r>
      <w:r w:rsidRPr="000F1B94">
        <w:rPr>
          <w:b w:val="0"/>
        </w:rPr>
        <w:t>additional allowance made for external works (15%</w:t>
      </w:r>
      <w:r w:rsidR="000F1B94" w:rsidRPr="000F1B94">
        <w:rPr>
          <w:b w:val="0"/>
        </w:rPr>
        <w:t xml:space="preserve"> of base cost</w:t>
      </w:r>
      <w:r w:rsidRPr="000F1B94">
        <w:rPr>
          <w:b w:val="0"/>
        </w:rPr>
        <w:t>).</w:t>
      </w:r>
      <w:r w:rsidR="00991BFF" w:rsidRPr="000F1B94">
        <w:rPr>
          <w:b w:val="0"/>
        </w:rPr>
        <w:t xml:space="preserve">  Unit sizes appropriately accord with the </w:t>
      </w:r>
      <w:r w:rsidR="000F1B94" w:rsidRPr="000F1B94">
        <w:rPr>
          <w:b w:val="0"/>
        </w:rPr>
        <w:t>N</w:t>
      </w:r>
      <w:r w:rsidR="00991BFF" w:rsidRPr="000F1B94">
        <w:rPr>
          <w:b w:val="0"/>
        </w:rPr>
        <w:t>ationally Described Space Standard.</w:t>
      </w:r>
      <w:r w:rsidR="00991BFF" w:rsidRPr="000F1B94">
        <w:rPr>
          <w:b w:val="0"/>
          <w:color w:val="0000FF"/>
        </w:rPr>
        <w:t xml:space="preserve"> </w:t>
      </w:r>
      <w:r w:rsidR="007D3629" w:rsidRPr="000F1B94">
        <w:rPr>
          <w:b w:val="0"/>
          <w:color w:val="0000FF"/>
        </w:rPr>
        <w:t xml:space="preserve"> </w:t>
      </w:r>
      <w:r w:rsidR="000F1B94" w:rsidRPr="000F1B94">
        <w:rPr>
          <w:b w:val="0"/>
          <w:color w:val="000000" w:themeColor="text1"/>
        </w:rPr>
        <w:t xml:space="preserve">A 6% allowance is added to meet sustainability requirements: however, </w:t>
      </w:r>
      <w:r w:rsidR="000F1B94">
        <w:rPr>
          <w:b w:val="0"/>
          <w:color w:val="000000" w:themeColor="text1"/>
        </w:rPr>
        <w:t>this</w:t>
      </w:r>
      <w:r w:rsidR="007D3629" w:rsidRPr="000F1B94">
        <w:rPr>
          <w:b w:val="0"/>
          <w:color w:val="000000" w:themeColor="text1"/>
        </w:rPr>
        <w:t xml:space="preserve"> exceeds actual costs following the review of housing standards.  A further 5% </w:t>
      </w:r>
      <w:r w:rsidR="00466D44" w:rsidRPr="000F1B94">
        <w:rPr>
          <w:b w:val="0"/>
          <w:color w:val="000000" w:themeColor="text1"/>
        </w:rPr>
        <w:t xml:space="preserve">allowance </w:t>
      </w:r>
      <w:r w:rsidR="007D3629" w:rsidRPr="000F1B94">
        <w:rPr>
          <w:b w:val="0"/>
          <w:color w:val="000000" w:themeColor="text1"/>
        </w:rPr>
        <w:t>is added for contingency.</w:t>
      </w:r>
      <w:r w:rsidR="00466D44" w:rsidRPr="000F1B94">
        <w:rPr>
          <w:b w:val="0"/>
          <w:color w:val="000000" w:themeColor="text1"/>
        </w:rPr>
        <w:t xml:space="preserve">   The adoption of allowances for professional fees of 10% for general housing sites and 12% for strategic sites appear to be conservative.</w:t>
      </w:r>
      <w:r w:rsidR="005D6A65" w:rsidRPr="000F1B94">
        <w:rPr>
          <w:b w:val="0"/>
          <w:color w:val="000000" w:themeColor="text1"/>
        </w:rPr>
        <w:t xml:space="preserve">  </w:t>
      </w:r>
    </w:p>
    <w:p w:rsidR="003C016A" w:rsidRPr="005D6A65" w:rsidRDefault="005D6A65" w:rsidP="00D148DB">
      <w:pPr>
        <w:pStyle w:val="DPDIntro"/>
        <w:widowControl w:val="0"/>
        <w:numPr>
          <w:ilvl w:val="0"/>
          <w:numId w:val="13"/>
        </w:numPr>
        <w:rPr>
          <w:b w:val="0"/>
        </w:rPr>
      </w:pPr>
      <w:r w:rsidRPr="005D6A65">
        <w:rPr>
          <w:b w:val="0"/>
          <w:color w:val="000000" w:themeColor="text1"/>
        </w:rPr>
        <w:t>Although some of these assumptions have been challenged, I consider the</w:t>
      </w:r>
      <w:r>
        <w:rPr>
          <w:b w:val="0"/>
          <w:color w:val="000000" w:themeColor="text1"/>
        </w:rPr>
        <w:t>m</w:t>
      </w:r>
      <w:r w:rsidRPr="005D6A65">
        <w:rPr>
          <w:b w:val="0"/>
          <w:color w:val="000000" w:themeColor="text1"/>
        </w:rPr>
        <w:t xml:space="preserve"> to be reasonable and adequately justified</w:t>
      </w:r>
      <w:r>
        <w:rPr>
          <w:b w:val="0"/>
          <w:color w:val="000000" w:themeColor="text1"/>
        </w:rPr>
        <w:t>.  In particular, I agree with the Council that there is no need for abnormal costs to be assumed in such generalised appraisals: such costs are, by definition, not a normal expectation in developments and it is therefore reasonable for them to be reflected in the land value.</w:t>
      </w:r>
      <w:r w:rsidR="00983450">
        <w:rPr>
          <w:b w:val="0"/>
          <w:color w:val="000000" w:themeColor="text1"/>
        </w:rPr>
        <w:t xml:space="preserve">  I also agree that the assumed developer profit levels (of 20% on private housing and 6% on affordable housing) are</w:t>
      </w:r>
      <w:r>
        <w:rPr>
          <w:b w:val="0"/>
          <w:color w:val="000000" w:themeColor="text1"/>
        </w:rPr>
        <w:t xml:space="preserve"> </w:t>
      </w:r>
      <w:r w:rsidR="00983450">
        <w:rPr>
          <w:b w:val="0"/>
          <w:color w:val="000000" w:themeColor="text1"/>
        </w:rPr>
        <w:t>in line with other similar exercises, including CIL and Local Plan viability testing.</w:t>
      </w:r>
    </w:p>
    <w:p w:rsidR="00F9461F" w:rsidRPr="00983450" w:rsidRDefault="00185012" w:rsidP="00AF289C">
      <w:pPr>
        <w:pStyle w:val="DPDIntro"/>
        <w:widowControl w:val="0"/>
        <w:numPr>
          <w:ilvl w:val="0"/>
          <w:numId w:val="13"/>
        </w:numPr>
        <w:rPr>
          <w:b w:val="0"/>
        </w:rPr>
      </w:pPr>
      <w:r w:rsidRPr="00983450">
        <w:rPr>
          <w:b w:val="0"/>
        </w:rPr>
        <w:t xml:space="preserve">The Council’s general approach has been to test the residual value of a range of sites against the existing benchmark value plus a premium.  The 2016 VS </w:t>
      </w:r>
      <w:r w:rsidRPr="00983450">
        <w:rPr>
          <w:b w:val="0"/>
        </w:rPr>
        <w:lastRenderedPageBreak/>
        <w:t>adopts a range of benchmark land values</w:t>
      </w:r>
      <w:r w:rsidR="00DC7E2A">
        <w:rPr>
          <w:rStyle w:val="FootnoteReference"/>
          <w:b w:val="0"/>
        </w:rPr>
        <w:footnoteReference w:id="2"/>
      </w:r>
      <w:r w:rsidRPr="00983450">
        <w:rPr>
          <w:b w:val="0"/>
        </w:rPr>
        <w:t xml:space="preserve"> and applies a blan</w:t>
      </w:r>
      <w:r w:rsidR="006E7AED" w:rsidRPr="00983450">
        <w:rPr>
          <w:b w:val="0"/>
        </w:rPr>
        <w:t>ket 20% premium as an 'average'</w:t>
      </w:r>
      <w:r w:rsidR="00C74677" w:rsidRPr="00983450">
        <w:rPr>
          <w:b w:val="0"/>
        </w:rPr>
        <w:t>.</w:t>
      </w:r>
      <w:r w:rsidR="006E7AED" w:rsidRPr="00983450">
        <w:rPr>
          <w:b w:val="0"/>
        </w:rPr>
        <w:t xml:space="preserve"> </w:t>
      </w:r>
      <w:r w:rsidR="00983450" w:rsidRPr="00983450">
        <w:rPr>
          <w:b w:val="0"/>
        </w:rPr>
        <w:t xml:space="preserve">  </w:t>
      </w:r>
      <w:r w:rsidR="006E7AED" w:rsidRPr="00983450">
        <w:rPr>
          <w:b w:val="0"/>
        </w:rPr>
        <w:t xml:space="preserve">In principle this approach accords with normal practice and is in line with national policy guidance.  </w:t>
      </w:r>
      <w:r w:rsidR="00AF289C" w:rsidRPr="00983450">
        <w:rPr>
          <w:b w:val="0"/>
        </w:rPr>
        <w:t xml:space="preserve">However, </w:t>
      </w:r>
      <w:r w:rsidR="00F9461F" w:rsidRPr="00983450">
        <w:rPr>
          <w:b w:val="0"/>
        </w:rPr>
        <w:t>concern has been raised by several representors about the benchmark land values that have been adopted by the 2016 VS</w:t>
      </w:r>
      <w:r w:rsidR="00537B9F" w:rsidRPr="00983450">
        <w:rPr>
          <w:b w:val="0"/>
        </w:rPr>
        <w:t xml:space="preserve"> in respect of residential development</w:t>
      </w:r>
      <w:r w:rsidR="00F9461F" w:rsidRPr="00983450">
        <w:rPr>
          <w:b w:val="0"/>
        </w:rPr>
        <w:t xml:space="preserve">.  </w:t>
      </w:r>
      <w:r w:rsidR="00DB313A" w:rsidRPr="00983450">
        <w:rPr>
          <w:b w:val="0"/>
        </w:rPr>
        <w:t>In particular, it is argued that the benchmark land value</w:t>
      </w:r>
      <w:r w:rsidR="00C74677" w:rsidRPr="00983450">
        <w:rPr>
          <w:b w:val="0"/>
        </w:rPr>
        <w:t>s</w:t>
      </w:r>
      <w:r w:rsidR="00DB313A" w:rsidRPr="00983450">
        <w:rPr>
          <w:b w:val="0"/>
        </w:rPr>
        <w:t xml:space="preserve"> that ha</w:t>
      </w:r>
      <w:r w:rsidR="00C74677" w:rsidRPr="00983450">
        <w:rPr>
          <w:b w:val="0"/>
        </w:rPr>
        <w:t>ve</w:t>
      </w:r>
      <w:r w:rsidR="00DB313A" w:rsidRPr="00983450">
        <w:rPr>
          <w:b w:val="0"/>
        </w:rPr>
        <w:t xml:space="preserve"> been applied to </w:t>
      </w:r>
      <w:proofErr w:type="gramStart"/>
      <w:r w:rsidR="00DB313A" w:rsidRPr="00983450">
        <w:rPr>
          <w:b w:val="0"/>
        </w:rPr>
        <w:t>green</w:t>
      </w:r>
      <w:r w:rsidR="00C74677" w:rsidRPr="00983450">
        <w:rPr>
          <w:b w:val="0"/>
        </w:rPr>
        <w:t>field</w:t>
      </w:r>
      <w:proofErr w:type="gramEnd"/>
      <w:r w:rsidR="00C74677" w:rsidRPr="00983450">
        <w:rPr>
          <w:b w:val="0"/>
        </w:rPr>
        <w:t xml:space="preserve"> land are</w:t>
      </w:r>
      <w:r w:rsidR="00DB313A" w:rsidRPr="00983450">
        <w:rPr>
          <w:b w:val="0"/>
        </w:rPr>
        <w:t xml:space="preserve"> unrealistic </w:t>
      </w:r>
      <w:r w:rsidR="00A460D7">
        <w:rPr>
          <w:b w:val="0"/>
        </w:rPr>
        <w:t>for strategic sites within the d</w:t>
      </w:r>
      <w:r w:rsidR="00DB313A" w:rsidRPr="00983450">
        <w:rPr>
          <w:b w:val="0"/>
        </w:rPr>
        <w:t xml:space="preserve">istrict.  </w:t>
      </w:r>
      <w:r w:rsidR="002821E3" w:rsidRPr="00983450">
        <w:rPr>
          <w:b w:val="0"/>
        </w:rPr>
        <w:t xml:space="preserve">  </w:t>
      </w:r>
    </w:p>
    <w:p w:rsidR="00C74677" w:rsidRDefault="002821E3" w:rsidP="00C74677">
      <w:pPr>
        <w:pStyle w:val="DPDIntro"/>
        <w:widowControl w:val="0"/>
        <w:numPr>
          <w:ilvl w:val="0"/>
          <w:numId w:val="13"/>
        </w:numPr>
        <w:rPr>
          <w:b w:val="0"/>
        </w:rPr>
      </w:pPr>
      <w:r w:rsidRPr="00C74677">
        <w:rPr>
          <w:b w:val="0"/>
        </w:rPr>
        <w:t>In response</w:t>
      </w:r>
      <w:r w:rsidR="003321B9">
        <w:rPr>
          <w:b w:val="0"/>
        </w:rPr>
        <w:t>,</w:t>
      </w:r>
      <w:r w:rsidRPr="00C74677">
        <w:rPr>
          <w:b w:val="0"/>
        </w:rPr>
        <w:t xml:space="preserve"> the Council states that the </w:t>
      </w:r>
      <w:r w:rsidR="009609AF" w:rsidRPr="00C74677">
        <w:rPr>
          <w:b w:val="0"/>
        </w:rPr>
        <w:t>relevant assumptions are derived from DCLG research on land values.  The t</w:t>
      </w:r>
      <w:r w:rsidR="00355F9A">
        <w:rPr>
          <w:b w:val="0"/>
        </w:rPr>
        <w:t>wo e</w:t>
      </w:r>
      <w:r w:rsidR="00D54452">
        <w:rPr>
          <w:b w:val="0"/>
        </w:rPr>
        <w:t>nds</w:t>
      </w:r>
      <w:r w:rsidR="00355F9A">
        <w:rPr>
          <w:b w:val="0"/>
        </w:rPr>
        <w:t xml:space="preserve"> of the resulting range</w:t>
      </w:r>
      <w:r w:rsidR="003321B9">
        <w:rPr>
          <w:b w:val="0"/>
        </w:rPr>
        <w:t xml:space="preserve"> have been adopted for</w:t>
      </w:r>
      <w:r w:rsidR="009609AF" w:rsidRPr="00C74677">
        <w:rPr>
          <w:b w:val="0"/>
        </w:rPr>
        <w:t xml:space="preserve"> the appraisals.  </w:t>
      </w:r>
      <w:r w:rsidR="003321B9">
        <w:rPr>
          <w:b w:val="0"/>
        </w:rPr>
        <w:t xml:space="preserve">The Council </w:t>
      </w:r>
      <w:r w:rsidR="009609AF" w:rsidRPr="00C74677">
        <w:rPr>
          <w:b w:val="0"/>
        </w:rPr>
        <w:t>comments that these figures represent an uplift of some 11</w:t>
      </w:r>
      <w:r w:rsidR="00355F9A">
        <w:rPr>
          <w:b w:val="0"/>
        </w:rPr>
        <w:t>-</w:t>
      </w:r>
      <w:r w:rsidR="009609AF" w:rsidRPr="00C74677">
        <w:rPr>
          <w:b w:val="0"/>
        </w:rPr>
        <w:t xml:space="preserve">16 times existing agricultural land values.  </w:t>
      </w:r>
      <w:r w:rsidR="00C74677" w:rsidRPr="00C74677">
        <w:rPr>
          <w:b w:val="0"/>
        </w:rPr>
        <w:t xml:space="preserve">As already noted, an additional 20% </w:t>
      </w:r>
      <w:r w:rsidR="00C74677">
        <w:rPr>
          <w:b w:val="0"/>
        </w:rPr>
        <w:t>premium has been applied.</w:t>
      </w:r>
    </w:p>
    <w:p w:rsidR="00595611" w:rsidRDefault="00595611" w:rsidP="00595611">
      <w:pPr>
        <w:pStyle w:val="DPDIntro"/>
        <w:widowControl w:val="0"/>
        <w:numPr>
          <w:ilvl w:val="0"/>
          <w:numId w:val="13"/>
        </w:numPr>
        <w:rPr>
          <w:b w:val="0"/>
        </w:rPr>
      </w:pPr>
      <w:r w:rsidRPr="00510094">
        <w:rPr>
          <w:b w:val="0"/>
        </w:rPr>
        <w:t xml:space="preserve">I note the evidence that has been supplied about recent land transactions in the </w:t>
      </w:r>
      <w:r w:rsidR="00D55F55">
        <w:rPr>
          <w:b w:val="0"/>
        </w:rPr>
        <w:t>district</w:t>
      </w:r>
      <w:r w:rsidRPr="00510094">
        <w:rPr>
          <w:b w:val="0"/>
        </w:rPr>
        <w:t xml:space="preserve">.  However, market values </w:t>
      </w:r>
      <w:r w:rsidR="00675877" w:rsidRPr="00510094">
        <w:rPr>
          <w:b w:val="0"/>
        </w:rPr>
        <w:t xml:space="preserve">may well </w:t>
      </w:r>
      <w:r w:rsidRPr="00510094">
        <w:rPr>
          <w:b w:val="0"/>
        </w:rPr>
        <w:t xml:space="preserve">build in </w:t>
      </w:r>
      <w:r w:rsidR="00675877" w:rsidRPr="00510094">
        <w:rPr>
          <w:b w:val="0"/>
        </w:rPr>
        <w:t xml:space="preserve">unrealistic </w:t>
      </w:r>
      <w:r w:rsidR="00510094" w:rsidRPr="00510094">
        <w:rPr>
          <w:b w:val="0"/>
        </w:rPr>
        <w:t xml:space="preserve">future </w:t>
      </w:r>
      <w:r w:rsidRPr="00510094">
        <w:rPr>
          <w:b w:val="0"/>
        </w:rPr>
        <w:t xml:space="preserve">expectations </w:t>
      </w:r>
      <w:r w:rsidR="00675877" w:rsidRPr="00510094">
        <w:rPr>
          <w:b w:val="0"/>
        </w:rPr>
        <w:t>– for example in respect of the need to make contributions towards CIL or affordable housing</w:t>
      </w:r>
      <w:r w:rsidRPr="00510094">
        <w:rPr>
          <w:b w:val="0"/>
        </w:rPr>
        <w:t xml:space="preserve">.  </w:t>
      </w:r>
      <w:r w:rsidR="00510094" w:rsidRPr="00510094">
        <w:rPr>
          <w:b w:val="0"/>
        </w:rPr>
        <w:t>National planning practice guidance is clear that estimated land values should reflect such policy requirements, as well as providing a competitive return to wiling developers.</w:t>
      </w:r>
      <w:r w:rsidR="00510094">
        <w:rPr>
          <w:b w:val="0"/>
        </w:rPr>
        <w:t xml:space="preserve"> </w:t>
      </w:r>
      <w:r w:rsidR="003321B9">
        <w:rPr>
          <w:b w:val="0"/>
        </w:rPr>
        <w:t>W</w:t>
      </w:r>
      <w:r w:rsidR="00032ED2" w:rsidRPr="00510094">
        <w:rPr>
          <w:b w:val="0"/>
        </w:rPr>
        <w:t>hile the Harman Report</w:t>
      </w:r>
      <w:r w:rsidR="00032ED2">
        <w:rPr>
          <w:rStyle w:val="FootnoteReference"/>
          <w:b w:val="0"/>
        </w:rPr>
        <w:footnoteReference w:id="3"/>
      </w:r>
      <w:r w:rsidR="00032ED2" w:rsidRPr="00510094">
        <w:rPr>
          <w:b w:val="0"/>
        </w:rPr>
        <w:t xml:space="preserve"> accepts that market values can provide a useful ‘sense check’ on the threshold values that are being used in valuation models, it does not recommend that these are used as the b</w:t>
      </w:r>
      <w:r w:rsidR="003321B9">
        <w:rPr>
          <w:b w:val="0"/>
        </w:rPr>
        <w:t xml:space="preserve">asis for inputs to such models.  </w:t>
      </w:r>
      <w:r w:rsidR="00032ED2" w:rsidRPr="00510094">
        <w:rPr>
          <w:b w:val="0"/>
        </w:rPr>
        <w:t>I see no reason to depart from this approach.</w:t>
      </w:r>
      <w:r w:rsidR="003E4272" w:rsidRPr="00510094">
        <w:rPr>
          <w:b w:val="0"/>
        </w:rPr>
        <w:t xml:space="preserve">  </w:t>
      </w:r>
    </w:p>
    <w:p w:rsidR="00510094" w:rsidRPr="00510094" w:rsidRDefault="00510094" w:rsidP="00595611">
      <w:pPr>
        <w:pStyle w:val="DPDIntro"/>
        <w:widowControl w:val="0"/>
        <w:numPr>
          <w:ilvl w:val="0"/>
          <w:numId w:val="13"/>
        </w:numPr>
        <w:rPr>
          <w:b w:val="0"/>
        </w:rPr>
      </w:pPr>
      <w:r>
        <w:rPr>
          <w:b w:val="0"/>
        </w:rPr>
        <w:t>Taking these matters together, and bearing in mind the degree of uplift over agricultural land values, I am satisfied that the benchmark land values that have been adopted</w:t>
      </w:r>
      <w:r w:rsidR="002D314A">
        <w:rPr>
          <w:b w:val="0"/>
        </w:rPr>
        <w:t xml:space="preserve"> in the 2016 VS</w:t>
      </w:r>
      <w:r>
        <w:rPr>
          <w:b w:val="0"/>
        </w:rPr>
        <w:t xml:space="preserve"> are appropriate </w:t>
      </w:r>
      <w:r w:rsidR="00961E8F">
        <w:rPr>
          <w:b w:val="0"/>
        </w:rPr>
        <w:t xml:space="preserve">and suitably robust </w:t>
      </w:r>
      <w:r>
        <w:rPr>
          <w:b w:val="0"/>
        </w:rPr>
        <w:t xml:space="preserve">for this exercise.  </w:t>
      </w:r>
      <w:r w:rsidR="002217FC">
        <w:rPr>
          <w:b w:val="0"/>
        </w:rPr>
        <w:t xml:space="preserve">While there is also criticism that this assessment has not taken into account varying land values across the district, </w:t>
      </w:r>
      <w:r w:rsidR="00961E8F">
        <w:rPr>
          <w:b w:val="0"/>
        </w:rPr>
        <w:t>it seems to me that a proportionate approach has been followed that recognises the likely limitations on available data.</w:t>
      </w:r>
      <w:r w:rsidR="009A4C56">
        <w:rPr>
          <w:b w:val="0"/>
        </w:rPr>
        <w:t xml:space="preserve">  </w:t>
      </w:r>
    </w:p>
    <w:p w:rsidR="002D314A" w:rsidRDefault="002D314A" w:rsidP="00F9461F">
      <w:pPr>
        <w:pStyle w:val="DPDIntro"/>
        <w:widowControl w:val="0"/>
        <w:numPr>
          <w:ilvl w:val="0"/>
          <w:numId w:val="13"/>
        </w:numPr>
        <w:rPr>
          <w:b w:val="0"/>
        </w:rPr>
      </w:pPr>
      <w:r>
        <w:rPr>
          <w:b w:val="0"/>
        </w:rPr>
        <w:t xml:space="preserve">Allowance is made for £1,500 per unit on residential developments to address any residual Section 106 costs.  </w:t>
      </w:r>
      <w:r w:rsidR="009A0623">
        <w:rPr>
          <w:b w:val="0"/>
        </w:rPr>
        <w:t>T</w:t>
      </w:r>
      <w:r>
        <w:rPr>
          <w:b w:val="0"/>
        </w:rPr>
        <w:t>his figure rises to £13,000 in respect of th</w:t>
      </w:r>
      <w:r w:rsidR="00625A00">
        <w:rPr>
          <w:b w:val="0"/>
        </w:rPr>
        <w:t>ose</w:t>
      </w:r>
      <w:r>
        <w:rPr>
          <w:b w:val="0"/>
        </w:rPr>
        <w:t xml:space="preserve"> strategic sites</w:t>
      </w:r>
      <w:r w:rsidR="00625A00">
        <w:rPr>
          <w:b w:val="0"/>
        </w:rPr>
        <w:t xml:space="preserve"> that were tested in the 2016 VS</w:t>
      </w:r>
      <w:r>
        <w:rPr>
          <w:b w:val="0"/>
        </w:rPr>
        <w:t xml:space="preserve">.  The derivation of these figures is not clearly explained within the 2016 VS and, following the hearing session, the Council </w:t>
      </w:r>
      <w:r w:rsidR="003321B9">
        <w:rPr>
          <w:b w:val="0"/>
        </w:rPr>
        <w:t xml:space="preserve">has </w:t>
      </w:r>
      <w:r>
        <w:rPr>
          <w:b w:val="0"/>
        </w:rPr>
        <w:t>submitted additional evidence in this regard</w:t>
      </w:r>
      <w:r>
        <w:rPr>
          <w:rStyle w:val="FootnoteReference"/>
          <w:b w:val="0"/>
        </w:rPr>
        <w:footnoteReference w:id="4"/>
      </w:r>
      <w:r>
        <w:rPr>
          <w:b w:val="0"/>
        </w:rPr>
        <w:t>.</w:t>
      </w:r>
      <w:r w:rsidR="00DF2522">
        <w:rPr>
          <w:b w:val="0"/>
        </w:rPr>
        <w:t xml:space="preserve">  This reviews the direct financial costs associated with Section 106 agreements that have been drafted since 2011 for proposals</w:t>
      </w:r>
      <w:r w:rsidR="00977A5A">
        <w:rPr>
          <w:b w:val="0"/>
        </w:rPr>
        <w:t xml:space="preserve"> involving class C3 dwelling houses</w:t>
      </w:r>
      <w:r w:rsidR="00DF2522">
        <w:rPr>
          <w:b w:val="0"/>
        </w:rPr>
        <w:t xml:space="preserve">.  Contributions relating to affordable housing are excluded.  The Council has excluded Section 278 contributions from this analysis on the grounds that these relate to site specific works that are necessary to release the development potential of any particular site. </w:t>
      </w:r>
      <w:r w:rsidR="0038045A">
        <w:rPr>
          <w:b w:val="0"/>
        </w:rPr>
        <w:t xml:space="preserve"> </w:t>
      </w:r>
      <w:r w:rsidR="00DF2522">
        <w:rPr>
          <w:b w:val="0"/>
        </w:rPr>
        <w:t xml:space="preserve">In the Council’s view, these should therefore bear upon the land value of the </w:t>
      </w:r>
      <w:r w:rsidR="00625A00">
        <w:rPr>
          <w:b w:val="0"/>
        </w:rPr>
        <w:t xml:space="preserve">site.  </w:t>
      </w:r>
      <w:r w:rsidR="00DF2522">
        <w:rPr>
          <w:b w:val="0"/>
        </w:rPr>
        <w:t xml:space="preserve">I have no reason to disagree with this approach.  Furthermore, </w:t>
      </w:r>
      <w:r w:rsidR="004D3407">
        <w:rPr>
          <w:b w:val="0"/>
        </w:rPr>
        <w:t xml:space="preserve">the scale of </w:t>
      </w:r>
      <w:r w:rsidR="00DF2522">
        <w:rPr>
          <w:b w:val="0"/>
        </w:rPr>
        <w:t xml:space="preserve">such costs </w:t>
      </w:r>
      <w:r w:rsidR="004D3407">
        <w:rPr>
          <w:b w:val="0"/>
        </w:rPr>
        <w:t>depends very much on the particular circumstances of the development concerned.</w:t>
      </w:r>
    </w:p>
    <w:p w:rsidR="003E22B4" w:rsidRPr="00F75D6B" w:rsidRDefault="004D3407" w:rsidP="00F75D6B">
      <w:pPr>
        <w:pStyle w:val="DPDIntro"/>
        <w:widowControl w:val="0"/>
        <w:numPr>
          <w:ilvl w:val="0"/>
          <w:numId w:val="13"/>
        </w:numPr>
        <w:rPr>
          <w:b w:val="0"/>
        </w:rPr>
      </w:pPr>
      <w:r>
        <w:rPr>
          <w:b w:val="0"/>
        </w:rPr>
        <w:lastRenderedPageBreak/>
        <w:t xml:space="preserve">The above </w:t>
      </w:r>
      <w:r w:rsidR="003321B9">
        <w:rPr>
          <w:b w:val="0"/>
        </w:rPr>
        <w:t>evidence</w:t>
      </w:r>
      <w:r>
        <w:rPr>
          <w:b w:val="0"/>
        </w:rPr>
        <w:t xml:space="preserve"> shows that Section 106 costs associated with strategic sites range from £8,696 to £25,119 per dwelling with an average cost of £16,643 per dwelling.  Taking into account those matters identified in the Regulation 123 list, </w:t>
      </w:r>
      <w:r w:rsidR="00753FF8">
        <w:rPr>
          <w:b w:val="0"/>
        </w:rPr>
        <w:t>I am satisfied that</w:t>
      </w:r>
      <w:r w:rsidR="00F75D6B">
        <w:rPr>
          <w:b w:val="0"/>
        </w:rPr>
        <w:t xml:space="preserve">, subject to </w:t>
      </w:r>
      <w:r w:rsidR="00322911">
        <w:rPr>
          <w:b w:val="0"/>
        </w:rPr>
        <w:t xml:space="preserve">my </w:t>
      </w:r>
      <w:r w:rsidR="00F75D6B">
        <w:rPr>
          <w:b w:val="0"/>
        </w:rPr>
        <w:t>comments below about the Kings Hill site,</w:t>
      </w:r>
      <w:r>
        <w:rPr>
          <w:b w:val="0"/>
        </w:rPr>
        <w:t xml:space="preserve"> </w:t>
      </w:r>
      <w:r w:rsidR="00753FF8">
        <w:rPr>
          <w:b w:val="0"/>
        </w:rPr>
        <w:t>the</w:t>
      </w:r>
      <w:r>
        <w:rPr>
          <w:b w:val="0"/>
        </w:rPr>
        <w:t xml:space="preserve"> estimate of residual Section 106 costs of £13,000 per dwelling </w:t>
      </w:r>
      <w:r w:rsidR="0072576A">
        <w:rPr>
          <w:b w:val="0"/>
        </w:rPr>
        <w:t xml:space="preserve">for strategic sites </w:t>
      </w:r>
      <w:r>
        <w:rPr>
          <w:b w:val="0"/>
        </w:rPr>
        <w:t xml:space="preserve">is soundly based if highways and education costs are </w:t>
      </w:r>
      <w:r w:rsidR="00795180">
        <w:rPr>
          <w:b w:val="0"/>
        </w:rPr>
        <w:t>included in full – which can be anticipated given the likely scale of on-site infrastructure associated with such proposals.</w:t>
      </w:r>
      <w:r w:rsidR="003321B9">
        <w:rPr>
          <w:b w:val="0"/>
        </w:rPr>
        <w:t xml:space="preserve">  </w:t>
      </w:r>
      <w:r w:rsidR="00F75D6B">
        <w:rPr>
          <w:b w:val="0"/>
        </w:rPr>
        <w:t xml:space="preserve">In response to my questions, the Council has provided further clarification about </w:t>
      </w:r>
      <w:r w:rsidR="00D658F0">
        <w:rPr>
          <w:b w:val="0"/>
        </w:rPr>
        <w:t>its intended split between CIL and section 106 funding for strategic and non-strategic sites</w:t>
      </w:r>
      <w:r w:rsidR="00D658F0">
        <w:rPr>
          <w:rStyle w:val="FootnoteReference"/>
          <w:b w:val="0"/>
        </w:rPr>
        <w:footnoteReference w:id="5"/>
      </w:r>
      <w:r w:rsidR="00D658F0">
        <w:rPr>
          <w:b w:val="0"/>
        </w:rPr>
        <w:t>.</w:t>
      </w:r>
    </w:p>
    <w:p w:rsidR="00BF6D70" w:rsidRDefault="004130C5" w:rsidP="00F9461F">
      <w:pPr>
        <w:pStyle w:val="DPDIntro"/>
        <w:widowControl w:val="0"/>
        <w:numPr>
          <w:ilvl w:val="0"/>
          <w:numId w:val="13"/>
        </w:numPr>
        <w:rPr>
          <w:b w:val="0"/>
        </w:rPr>
      </w:pPr>
      <w:r>
        <w:rPr>
          <w:b w:val="0"/>
        </w:rPr>
        <w:t xml:space="preserve">Particular concern in this regard has been voiced in respect of the largest of the </w:t>
      </w:r>
      <w:r w:rsidR="003321B9">
        <w:rPr>
          <w:b w:val="0"/>
        </w:rPr>
        <w:t>s</w:t>
      </w:r>
      <w:r>
        <w:rPr>
          <w:b w:val="0"/>
        </w:rPr>
        <w:t xml:space="preserve">trategic sites (Kings Hill, </w:t>
      </w:r>
      <w:r w:rsidR="00027BE0">
        <w:rPr>
          <w:b w:val="0"/>
        </w:rPr>
        <w:t>up to</w:t>
      </w:r>
      <w:r>
        <w:rPr>
          <w:b w:val="0"/>
        </w:rPr>
        <w:t xml:space="preserve"> 4,000 units).  </w:t>
      </w:r>
      <w:r w:rsidR="00D658F0">
        <w:rPr>
          <w:b w:val="0"/>
        </w:rPr>
        <w:t>The Council has clarified its position on this site in an exchange of documents subsequent to the hearing</w:t>
      </w:r>
      <w:r w:rsidR="00D658F0">
        <w:rPr>
          <w:rStyle w:val="FootnoteReference"/>
          <w:b w:val="0"/>
        </w:rPr>
        <w:footnoteReference w:id="6"/>
      </w:r>
      <w:r w:rsidR="00D658F0">
        <w:rPr>
          <w:b w:val="0"/>
        </w:rPr>
        <w:t>.</w:t>
      </w:r>
      <w:r w:rsidR="00BF6D70">
        <w:rPr>
          <w:b w:val="0"/>
        </w:rPr>
        <w:t xml:space="preserve">  Notwithstanding its earlier written comments, it now explains that the viability of the Kings Hill site was tested with an assumption of residual section 106 contributions</w:t>
      </w:r>
      <w:r w:rsidR="00856AFA">
        <w:rPr>
          <w:b w:val="0"/>
        </w:rPr>
        <w:t xml:space="preserve"> (i.e. excluding CIL payments)</w:t>
      </w:r>
      <w:r w:rsidR="00BF6D70">
        <w:rPr>
          <w:b w:val="0"/>
        </w:rPr>
        <w:t xml:space="preserve"> of £60,450,000 – equivalent to £15,135 per dwelling, rather than</w:t>
      </w:r>
      <w:r w:rsidR="007606BD">
        <w:rPr>
          <w:b w:val="0"/>
        </w:rPr>
        <w:t xml:space="preserve"> the</w:t>
      </w:r>
      <w:r w:rsidR="00BF6D70">
        <w:rPr>
          <w:b w:val="0"/>
        </w:rPr>
        <w:t xml:space="preserve"> £13,000</w:t>
      </w:r>
      <w:r w:rsidR="007606BD">
        <w:rPr>
          <w:b w:val="0"/>
        </w:rPr>
        <w:t xml:space="preserve"> assumed in the 2016 VS for other strategic sites</w:t>
      </w:r>
      <w:r w:rsidR="00BF6D70">
        <w:rPr>
          <w:b w:val="0"/>
        </w:rPr>
        <w:t xml:space="preserve">.  Adding in the likely yield from CIL (at £55/sqm) gives a total infrastructure </w:t>
      </w:r>
      <w:r w:rsidR="002F769E">
        <w:rPr>
          <w:b w:val="0"/>
        </w:rPr>
        <w:t>contribution</w:t>
      </w:r>
      <w:r w:rsidR="00BF6D70">
        <w:rPr>
          <w:b w:val="0"/>
        </w:rPr>
        <w:t xml:space="preserve"> assumption of £73,080,000 for the site – which the study shows to be viable. </w:t>
      </w:r>
    </w:p>
    <w:p w:rsidR="00D658F0" w:rsidRPr="00C23635" w:rsidRDefault="00BF6D70" w:rsidP="00C23635">
      <w:pPr>
        <w:pStyle w:val="DPDIntro"/>
        <w:widowControl w:val="0"/>
        <w:numPr>
          <w:ilvl w:val="0"/>
          <w:numId w:val="13"/>
        </w:numPr>
        <w:rPr>
          <w:b w:val="0"/>
        </w:rPr>
      </w:pPr>
      <w:r>
        <w:rPr>
          <w:b w:val="0"/>
        </w:rPr>
        <w:t xml:space="preserve">Subsequent to the examination hearing, the Council </w:t>
      </w:r>
      <w:r w:rsidR="003321B9">
        <w:rPr>
          <w:b w:val="0"/>
        </w:rPr>
        <w:t xml:space="preserve">and the </w:t>
      </w:r>
      <w:r w:rsidR="00C23635">
        <w:rPr>
          <w:b w:val="0"/>
        </w:rPr>
        <w:t xml:space="preserve">site’s developer </w:t>
      </w:r>
      <w:r w:rsidR="003321B9">
        <w:rPr>
          <w:b w:val="0"/>
        </w:rPr>
        <w:t xml:space="preserve">agreed </w:t>
      </w:r>
      <w:r>
        <w:rPr>
          <w:b w:val="0"/>
        </w:rPr>
        <w:t xml:space="preserve">a list of </w:t>
      </w:r>
      <w:r w:rsidR="00C23635">
        <w:rPr>
          <w:b w:val="0"/>
        </w:rPr>
        <w:t xml:space="preserve">infrastructure </w:t>
      </w:r>
      <w:r w:rsidR="00750C65">
        <w:rPr>
          <w:b w:val="0"/>
        </w:rPr>
        <w:t xml:space="preserve">cost </w:t>
      </w:r>
      <w:r>
        <w:rPr>
          <w:b w:val="0"/>
        </w:rPr>
        <w:t>assumptions</w:t>
      </w:r>
      <w:r>
        <w:rPr>
          <w:rStyle w:val="FootnoteReference"/>
          <w:b w:val="0"/>
        </w:rPr>
        <w:footnoteReference w:id="7"/>
      </w:r>
      <w:r>
        <w:rPr>
          <w:b w:val="0"/>
        </w:rPr>
        <w:t xml:space="preserve"> totalling £69.2m to £72.2m</w:t>
      </w:r>
      <w:r w:rsidR="00C23635">
        <w:rPr>
          <w:b w:val="0"/>
        </w:rPr>
        <w:t xml:space="preserve"> – the uncertainty relating to the scale of highway contributions likely to be required by the neighbouring authority (Coventry City Council).  Excluding CIL payments</w:t>
      </w:r>
      <w:r>
        <w:rPr>
          <w:b w:val="0"/>
        </w:rPr>
        <w:t xml:space="preserve"> </w:t>
      </w:r>
      <w:r w:rsidR="00C23635">
        <w:rPr>
          <w:b w:val="0"/>
        </w:rPr>
        <w:t>this equates to a residual section 106 contribution of, at most, £14,350 per dwelling.  These figures do not exceed the assumptions that were subject to viability testing.  As such, I am satisfied that the £55/sqm charging rate</w:t>
      </w:r>
      <w:r w:rsidR="003321B9">
        <w:rPr>
          <w:b w:val="0"/>
        </w:rPr>
        <w:t xml:space="preserve"> for that site</w:t>
      </w:r>
      <w:r w:rsidR="00C23635">
        <w:rPr>
          <w:b w:val="0"/>
        </w:rPr>
        <w:t>, which represents a reduction from the figure originally proposed, is adequately justified.</w:t>
      </w:r>
    </w:p>
    <w:p w:rsidR="00DF2522" w:rsidRPr="0030506E" w:rsidRDefault="004D3407" w:rsidP="00F9461F">
      <w:pPr>
        <w:pStyle w:val="DPDIntro"/>
        <w:widowControl w:val="0"/>
        <w:numPr>
          <w:ilvl w:val="0"/>
          <w:numId w:val="13"/>
        </w:numPr>
        <w:rPr>
          <w:b w:val="0"/>
        </w:rPr>
      </w:pPr>
      <w:r w:rsidRPr="0030506E">
        <w:rPr>
          <w:b w:val="0"/>
        </w:rPr>
        <w:t xml:space="preserve">Actual Section 106 costs for smaller </w:t>
      </w:r>
      <w:r w:rsidR="007D252E">
        <w:rPr>
          <w:b w:val="0"/>
        </w:rPr>
        <w:t xml:space="preserve">housing </w:t>
      </w:r>
      <w:r w:rsidRPr="0030506E">
        <w:rPr>
          <w:b w:val="0"/>
        </w:rPr>
        <w:t>sites (below 300 dwellings) have been extremely variable – ranging from nil to £17,359 per dwelling.  After taking off those items that would be covered by CIL, the Council’s analysis suggests that the £1,500 per unit estimate is likely to be an overestimate of the actual residual Section 106 costs for sites below 50 dwellings.  As such, their viability may be stronger than initially suggested.  For schemes between 50</w:t>
      </w:r>
      <w:r w:rsidR="00795180" w:rsidRPr="0030506E">
        <w:rPr>
          <w:b w:val="0"/>
        </w:rPr>
        <w:t xml:space="preserve"> and</w:t>
      </w:r>
      <w:r w:rsidR="00FA45C2" w:rsidRPr="0030506E">
        <w:rPr>
          <w:b w:val="0"/>
        </w:rPr>
        <w:t xml:space="preserve"> 100 dwellings, it is assumed that education contributions and most highway contributions </w:t>
      </w:r>
      <w:r w:rsidR="00391B71" w:rsidRPr="0030506E">
        <w:rPr>
          <w:b w:val="0"/>
        </w:rPr>
        <w:t xml:space="preserve">(excluding those related to localised improvements) </w:t>
      </w:r>
      <w:r w:rsidR="00FA45C2" w:rsidRPr="0030506E">
        <w:rPr>
          <w:b w:val="0"/>
        </w:rPr>
        <w:t xml:space="preserve">are likely to be covered by CIL.  </w:t>
      </w:r>
      <w:r w:rsidR="00391B71" w:rsidRPr="0030506E">
        <w:rPr>
          <w:b w:val="0"/>
        </w:rPr>
        <w:t>As such, it concludes that the £1,500</w:t>
      </w:r>
      <w:r w:rsidRPr="0030506E">
        <w:rPr>
          <w:b w:val="0"/>
        </w:rPr>
        <w:t xml:space="preserve"> </w:t>
      </w:r>
      <w:r w:rsidR="00391B71" w:rsidRPr="0030506E">
        <w:rPr>
          <w:b w:val="0"/>
        </w:rPr>
        <w:t>per unit estimate is also soundly based.  I agree with both of these assessments.</w:t>
      </w:r>
      <w:r w:rsidRPr="0030506E">
        <w:rPr>
          <w:b w:val="0"/>
        </w:rPr>
        <w:t xml:space="preserve"> </w:t>
      </w:r>
    </w:p>
    <w:p w:rsidR="00F9461F" w:rsidRDefault="003321B9" w:rsidP="00F9461F">
      <w:pPr>
        <w:pStyle w:val="DPDIntro"/>
        <w:widowControl w:val="0"/>
        <w:numPr>
          <w:ilvl w:val="0"/>
          <w:numId w:val="13"/>
        </w:numPr>
        <w:rPr>
          <w:b w:val="0"/>
        </w:rPr>
      </w:pPr>
      <w:r>
        <w:rPr>
          <w:b w:val="0"/>
        </w:rPr>
        <w:t>Assessing historical data on</w:t>
      </w:r>
      <w:r w:rsidR="00391B71">
        <w:rPr>
          <w:b w:val="0"/>
        </w:rPr>
        <w:t xml:space="preserve"> residual costs associated with larger residential developments (between 100 and 300 dwellings) has proved more complex, as an assessment is needed of how such costs would have been met had CIL have been in place.  The Council’s </w:t>
      </w:r>
      <w:r>
        <w:rPr>
          <w:b w:val="0"/>
        </w:rPr>
        <w:t xml:space="preserve">figures </w:t>
      </w:r>
      <w:r w:rsidR="00391B71">
        <w:rPr>
          <w:b w:val="0"/>
        </w:rPr>
        <w:t xml:space="preserve">show that the £1,500 figure is well within the range of actual contributions if highways and education costs are excluded, but would be a significant underestimate if such costs are included.  </w:t>
      </w:r>
      <w:r w:rsidR="00391B71">
        <w:rPr>
          <w:b w:val="0"/>
        </w:rPr>
        <w:lastRenderedPageBreak/>
        <w:t xml:space="preserve">On balance, I </w:t>
      </w:r>
      <w:r w:rsidR="00923CE9">
        <w:rPr>
          <w:b w:val="0"/>
        </w:rPr>
        <w:t xml:space="preserve">consider </w:t>
      </w:r>
      <w:r w:rsidR="00391B71">
        <w:rPr>
          <w:b w:val="0"/>
        </w:rPr>
        <w:t xml:space="preserve">that the combination of Regulation 123 schemes and the effect of pooling restrictions </w:t>
      </w:r>
      <w:proofErr w:type="gramStart"/>
      <w:r w:rsidR="00391B71">
        <w:rPr>
          <w:b w:val="0"/>
        </w:rPr>
        <w:t>is</w:t>
      </w:r>
      <w:proofErr w:type="gramEnd"/>
      <w:r w:rsidR="00391B71">
        <w:rPr>
          <w:b w:val="0"/>
        </w:rPr>
        <w:t xml:space="preserve"> likely to limit the requirement for any such contributions to addressing localised impacts.  Nevertheless, it is likely that some contribution</w:t>
      </w:r>
      <w:r w:rsidR="00A50B16">
        <w:rPr>
          <w:b w:val="0"/>
        </w:rPr>
        <w:t>s could</w:t>
      </w:r>
      <w:r w:rsidR="00391B71">
        <w:rPr>
          <w:b w:val="0"/>
        </w:rPr>
        <w:t xml:space="preserve"> exceed the £1,500 figure. </w:t>
      </w:r>
      <w:r w:rsidR="00A50B16">
        <w:rPr>
          <w:b w:val="0"/>
        </w:rPr>
        <w:t xml:space="preserve"> </w:t>
      </w:r>
      <w:r w:rsidR="00391B71">
        <w:rPr>
          <w:b w:val="0"/>
        </w:rPr>
        <w:t>As such, some caution should be applied to the relevant outputs in respect of these schemes.</w:t>
      </w:r>
      <w:r w:rsidR="00C61BBE">
        <w:rPr>
          <w:b w:val="0"/>
        </w:rPr>
        <w:t xml:space="preserve">  However, it is noted that relevant policies allow for flexibility in the negotiation of such agreements in respect of matters including scheme viability.</w:t>
      </w:r>
    </w:p>
    <w:p w:rsidR="00577299" w:rsidRDefault="00B92AF6" w:rsidP="00005153">
      <w:pPr>
        <w:pStyle w:val="DPDIntro"/>
        <w:widowControl w:val="0"/>
        <w:numPr>
          <w:ilvl w:val="0"/>
          <w:numId w:val="13"/>
        </w:numPr>
        <w:rPr>
          <w:b w:val="0"/>
        </w:rPr>
      </w:pPr>
      <w:r>
        <w:rPr>
          <w:b w:val="0"/>
        </w:rPr>
        <w:t xml:space="preserve">The 2016 VS tested nine residential </w:t>
      </w:r>
      <w:r w:rsidR="00577299">
        <w:rPr>
          <w:b w:val="0"/>
        </w:rPr>
        <w:t xml:space="preserve">development </w:t>
      </w:r>
      <w:r>
        <w:rPr>
          <w:b w:val="0"/>
        </w:rPr>
        <w:t>typologies</w:t>
      </w:r>
      <w:r w:rsidR="00577299">
        <w:rPr>
          <w:b w:val="0"/>
        </w:rPr>
        <w:t xml:space="preserve">, the largest being </w:t>
      </w:r>
      <w:proofErr w:type="gramStart"/>
      <w:r w:rsidR="00577299">
        <w:rPr>
          <w:b w:val="0"/>
        </w:rPr>
        <w:t>greenfield</w:t>
      </w:r>
      <w:proofErr w:type="gramEnd"/>
      <w:r w:rsidR="00577299">
        <w:rPr>
          <w:b w:val="0"/>
        </w:rPr>
        <w:t xml:space="preserve"> schemes of 75 houses and an urban site of 100 flats.  Five specific strategic sites were tested, ranging from 319 to 1,165 dwellings.  Concern was raised by various representors that this effectively resulted in an absence of viability testing for sites between 100 and 319 units in size, particularly </w:t>
      </w:r>
      <w:r w:rsidR="003321B9">
        <w:rPr>
          <w:b w:val="0"/>
        </w:rPr>
        <w:t xml:space="preserve">as </w:t>
      </w:r>
      <w:r w:rsidR="00577299">
        <w:rPr>
          <w:b w:val="0"/>
        </w:rPr>
        <w:t>different assumptions had been made for the strategic sites, as already discussed.</w:t>
      </w:r>
    </w:p>
    <w:p w:rsidR="009A4C56" w:rsidRDefault="00C25AB3" w:rsidP="00005153">
      <w:pPr>
        <w:pStyle w:val="DPDIntro"/>
        <w:widowControl w:val="0"/>
        <w:numPr>
          <w:ilvl w:val="0"/>
          <w:numId w:val="13"/>
        </w:numPr>
        <w:rPr>
          <w:b w:val="0"/>
        </w:rPr>
      </w:pPr>
      <w:r w:rsidRPr="0030506E">
        <w:rPr>
          <w:b w:val="0"/>
        </w:rPr>
        <w:t xml:space="preserve">At the hearing session, the Council acknowledged this concern.  It has now prepared additional appraisals for residential schemes of 150 and 250 units on </w:t>
      </w:r>
      <w:proofErr w:type="gramStart"/>
      <w:r w:rsidRPr="0030506E">
        <w:rPr>
          <w:b w:val="0"/>
        </w:rPr>
        <w:t>greenfield</w:t>
      </w:r>
      <w:proofErr w:type="gramEnd"/>
      <w:r w:rsidRPr="0030506E">
        <w:rPr>
          <w:b w:val="0"/>
        </w:rPr>
        <w:t xml:space="preserve"> and brownfield sites</w:t>
      </w:r>
      <w:r w:rsidR="0028082C">
        <w:rPr>
          <w:rStyle w:val="FootnoteReference"/>
          <w:b w:val="0"/>
        </w:rPr>
        <w:footnoteReference w:id="8"/>
      </w:r>
      <w:r w:rsidRPr="0030506E">
        <w:rPr>
          <w:b w:val="0"/>
        </w:rPr>
        <w:t>.</w:t>
      </w:r>
      <w:r w:rsidR="00577299" w:rsidRPr="0030506E">
        <w:rPr>
          <w:b w:val="0"/>
        </w:rPr>
        <w:t xml:space="preserve">  </w:t>
      </w:r>
      <w:r w:rsidR="0030506E" w:rsidRPr="0030506E">
        <w:rPr>
          <w:b w:val="0"/>
        </w:rPr>
        <w:t xml:space="preserve">Inputs have remained broadly similar to those in the 2016 VS, with changes being made only in respect of build periods and unit mixes.  </w:t>
      </w:r>
      <w:r w:rsidR="009054D5" w:rsidRPr="0030506E">
        <w:rPr>
          <w:b w:val="0"/>
        </w:rPr>
        <w:t xml:space="preserve">In summary, these </w:t>
      </w:r>
      <w:r w:rsidR="00EE76A0">
        <w:rPr>
          <w:b w:val="0"/>
        </w:rPr>
        <w:t xml:space="preserve">appraisals </w:t>
      </w:r>
      <w:r w:rsidR="009054D5" w:rsidRPr="0030506E">
        <w:rPr>
          <w:b w:val="0"/>
        </w:rPr>
        <w:t xml:space="preserve">show that the </w:t>
      </w:r>
      <w:r w:rsidR="0030506E">
        <w:rPr>
          <w:b w:val="0"/>
        </w:rPr>
        <w:t xml:space="preserve">capacity of sites on that scale to absorb the proposed CIL rates is no different to other site typologies that were previously tested. </w:t>
      </w:r>
      <w:r w:rsidR="00D154FE">
        <w:rPr>
          <w:b w:val="0"/>
        </w:rPr>
        <w:t xml:space="preserve">  </w:t>
      </w:r>
    </w:p>
    <w:p w:rsidR="00DC7E2A" w:rsidRDefault="00DC7E2A" w:rsidP="00005153">
      <w:pPr>
        <w:pStyle w:val="DPDIntro"/>
        <w:widowControl w:val="0"/>
        <w:numPr>
          <w:ilvl w:val="0"/>
          <w:numId w:val="13"/>
        </w:numPr>
        <w:rPr>
          <w:b w:val="0"/>
        </w:rPr>
      </w:pPr>
      <w:r>
        <w:rPr>
          <w:b w:val="0"/>
        </w:rPr>
        <w:t xml:space="preserve">In both the 2016 VS and the more recent work on larger residential sites, the respective typologies were tested over five areas across </w:t>
      </w:r>
      <w:r w:rsidR="00D96E34">
        <w:rPr>
          <w:b w:val="0"/>
        </w:rPr>
        <w:t xml:space="preserve">the </w:t>
      </w:r>
      <w:r>
        <w:rPr>
          <w:b w:val="0"/>
        </w:rPr>
        <w:t>four</w:t>
      </w:r>
      <w:r w:rsidR="00D96E34">
        <w:rPr>
          <w:b w:val="0"/>
        </w:rPr>
        <w:t xml:space="preserve"> benchmark land values already discussed.  Subject to my comments below about the definition of zones A and D</w:t>
      </w:r>
      <w:r w:rsidR="00D57A12">
        <w:rPr>
          <w:b w:val="0"/>
        </w:rPr>
        <w:t xml:space="preserve"> at Hampton Magna</w:t>
      </w:r>
      <w:r w:rsidR="00D96E34">
        <w:rPr>
          <w:b w:val="0"/>
        </w:rPr>
        <w:t xml:space="preserve">, I am satisfied that this provides an adequately fine-grained approach in respect of assessing development viability in the </w:t>
      </w:r>
      <w:r w:rsidR="003321B9">
        <w:rPr>
          <w:b w:val="0"/>
        </w:rPr>
        <w:t xml:space="preserve">various </w:t>
      </w:r>
      <w:r w:rsidR="00D96E34">
        <w:rPr>
          <w:b w:val="0"/>
        </w:rPr>
        <w:t>zones</w:t>
      </w:r>
      <w:r w:rsidR="003321B9">
        <w:rPr>
          <w:b w:val="0"/>
        </w:rPr>
        <w:t>.</w:t>
      </w:r>
      <w:r w:rsidR="00D96E34">
        <w:rPr>
          <w:b w:val="0"/>
        </w:rPr>
        <w:t xml:space="preserve"> </w:t>
      </w:r>
      <w:r>
        <w:rPr>
          <w:b w:val="0"/>
        </w:rPr>
        <w:t xml:space="preserve"> </w:t>
      </w:r>
      <w:r w:rsidR="009577DB">
        <w:rPr>
          <w:b w:val="0"/>
        </w:rPr>
        <w:t xml:space="preserve">In particular, the evidence in respect of the differential in residential sales values is sufficient to justify the adoption of three separate charging areas for residential development.  </w:t>
      </w:r>
      <w:r w:rsidR="00BF570B">
        <w:rPr>
          <w:b w:val="0"/>
        </w:rPr>
        <w:t>Although two zones (B and D) set the same rate for such development – and could therefore in practice be combined – I recognise that this relates to the way in which the schedule has evolved over time.  It is not necessary for this to be changed</w:t>
      </w:r>
      <w:r w:rsidR="00C67C8B">
        <w:rPr>
          <w:b w:val="0"/>
        </w:rPr>
        <w:t xml:space="preserve"> in order to meet the statutory requirements.</w:t>
      </w:r>
    </w:p>
    <w:p w:rsidR="00AE38A0" w:rsidRDefault="00AE38A0" w:rsidP="00CB00EF">
      <w:pPr>
        <w:pStyle w:val="DPDIntro"/>
        <w:widowControl w:val="0"/>
        <w:numPr>
          <w:ilvl w:val="0"/>
          <w:numId w:val="13"/>
        </w:numPr>
        <w:rPr>
          <w:b w:val="0"/>
        </w:rPr>
      </w:pPr>
      <w:r>
        <w:rPr>
          <w:b w:val="0"/>
        </w:rPr>
        <w:t xml:space="preserve">Some concern has been raised that the differentials between proposed residential charging rates in different zones do not mirror the degree of difference in sales values between such zones.  However, there is no requirement in the Regulations for rates to achieve a </w:t>
      </w:r>
      <w:r w:rsidR="00204DBF">
        <w:rPr>
          <w:b w:val="0"/>
        </w:rPr>
        <w:t xml:space="preserve">particular </w:t>
      </w:r>
      <w:r>
        <w:rPr>
          <w:b w:val="0"/>
        </w:rPr>
        <w:t xml:space="preserve">degree of correlation with sales values.  </w:t>
      </w:r>
      <w:r w:rsidR="00AC3F32">
        <w:rPr>
          <w:b w:val="0"/>
        </w:rPr>
        <w:t>As already described, the requirement is (in summary) for the charging authority to set an appropriate balance between the desirability of funding</w:t>
      </w:r>
      <w:r>
        <w:rPr>
          <w:b w:val="0"/>
        </w:rPr>
        <w:t xml:space="preserve"> </w:t>
      </w:r>
      <w:r w:rsidR="00AC3F32">
        <w:rPr>
          <w:b w:val="0"/>
        </w:rPr>
        <w:t>infrastructure from CIL (in whole or in part) and the potential effects of the imposition of CIL on the economic viability of development in its area.</w:t>
      </w:r>
      <w:r>
        <w:rPr>
          <w:b w:val="0"/>
        </w:rPr>
        <w:t xml:space="preserve"> </w:t>
      </w:r>
    </w:p>
    <w:p w:rsidR="00BE19AD" w:rsidRDefault="00AC3F32" w:rsidP="00BE19AD">
      <w:pPr>
        <w:pStyle w:val="DPDIntro"/>
        <w:widowControl w:val="0"/>
        <w:numPr>
          <w:ilvl w:val="0"/>
          <w:numId w:val="13"/>
        </w:numPr>
        <w:rPr>
          <w:b w:val="0"/>
        </w:rPr>
      </w:pPr>
      <w:r>
        <w:rPr>
          <w:b w:val="0"/>
        </w:rPr>
        <w:t>P</w:t>
      </w:r>
      <w:r w:rsidR="00BE19AD">
        <w:rPr>
          <w:b w:val="0"/>
        </w:rPr>
        <w:t>rior to the submission of the charging schedule for examination</w:t>
      </w:r>
      <w:r w:rsidR="0052526E">
        <w:rPr>
          <w:b w:val="0"/>
        </w:rPr>
        <w:t>,</w:t>
      </w:r>
      <w:r w:rsidR="00BE19AD">
        <w:rPr>
          <w:b w:val="0"/>
        </w:rPr>
        <w:t xml:space="preserve"> the Council proposed an amendment to the </w:t>
      </w:r>
      <w:r w:rsidR="002B0F71">
        <w:rPr>
          <w:b w:val="0"/>
        </w:rPr>
        <w:t>z</w:t>
      </w:r>
      <w:r w:rsidR="00BE19AD">
        <w:rPr>
          <w:b w:val="0"/>
        </w:rPr>
        <w:t xml:space="preserve">oning </w:t>
      </w:r>
      <w:r w:rsidR="002B0F71">
        <w:rPr>
          <w:b w:val="0"/>
        </w:rPr>
        <w:t>m</w:t>
      </w:r>
      <w:r w:rsidR="00BE19AD">
        <w:rPr>
          <w:b w:val="0"/>
        </w:rPr>
        <w:t xml:space="preserve">ap to </w:t>
      </w:r>
      <w:r w:rsidR="00BE19AD" w:rsidRPr="00BE19AD">
        <w:rPr>
          <w:b w:val="0"/>
        </w:rPr>
        <w:t>include land to the west of the A46 at Hampton Magna within zone D rather than zone A</w:t>
      </w:r>
      <w:r w:rsidR="00BE19AD">
        <w:rPr>
          <w:b w:val="0"/>
        </w:rPr>
        <w:t>.  This was included in the post-submission statement of modifications</w:t>
      </w:r>
      <w:r w:rsidR="0052526E">
        <w:rPr>
          <w:b w:val="0"/>
        </w:rPr>
        <w:t xml:space="preserve"> (May 2017)</w:t>
      </w:r>
      <w:r w:rsidR="00BE19AD">
        <w:rPr>
          <w:b w:val="0"/>
        </w:rPr>
        <w:t xml:space="preserve">.  </w:t>
      </w:r>
      <w:r w:rsidR="00BC3463">
        <w:rPr>
          <w:b w:val="0"/>
        </w:rPr>
        <w:t xml:space="preserve">The </w:t>
      </w:r>
      <w:r w:rsidR="00BC3463">
        <w:rPr>
          <w:b w:val="0"/>
        </w:rPr>
        <w:lastRenderedPageBreak/>
        <w:t xml:space="preserve">amendment, which was made following representations from the Parish Council, </w:t>
      </w:r>
      <w:r w:rsidR="00985963">
        <w:rPr>
          <w:b w:val="0"/>
        </w:rPr>
        <w:t>is based on a view that premium values have been achieved wherever land has been made available for development, although such opportunities have bee</w:t>
      </w:r>
      <w:r w:rsidR="001D0CFF">
        <w:rPr>
          <w:b w:val="0"/>
        </w:rPr>
        <w:t>n</w:t>
      </w:r>
      <w:r w:rsidR="00985963">
        <w:rPr>
          <w:b w:val="0"/>
        </w:rPr>
        <w:t xml:space="preserve"> restricted by the presence of Green Belt land.</w:t>
      </w:r>
      <w:r w:rsidR="00976541">
        <w:rPr>
          <w:b w:val="0"/>
        </w:rPr>
        <w:t xml:space="preserve">  </w:t>
      </w:r>
      <w:r w:rsidR="003D1C46">
        <w:rPr>
          <w:b w:val="0"/>
        </w:rPr>
        <w:t>In its written statement, t</w:t>
      </w:r>
      <w:r w:rsidR="00976541">
        <w:rPr>
          <w:b w:val="0"/>
        </w:rPr>
        <w:t>he Council quotes a sales value figure of ‘up to £3,898 per sqm’ for second hand units.</w:t>
      </w:r>
    </w:p>
    <w:p w:rsidR="00512C21" w:rsidRDefault="002B0F71" w:rsidP="00BE19AD">
      <w:pPr>
        <w:pStyle w:val="DPDIntro"/>
        <w:widowControl w:val="0"/>
        <w:numPr>
          <w:ilvl w:val="0"/>
          <w:numId w:val="13"/>
        </w:numPr>
        <w:rPr>
          <w:b w:val="0"/>
        </w:rPr>
      </w:pPr>
      <w:r>
        <w:rPr>
          <w:b w:val="0"/>
        </w:rPr>
        <w:t xml:space="preserve">This assumption has been challenged by a number of representors.  Sales value data for Hampton Magna, which have not been </w:t>
      </w:r>
      <w:r w:rsidR="00512C21">
        <w:rPr>
          <w:b w:val="0"/>
        </w:rPr>
        <w:t xml:space="preserve">substantively </w:t>
      </w:r>
      <w:r>
        <w:rPr>
          <w:b w:val="0"/>
        </w:rPr>
        <w:t>challenged by the Council, have been supplied which give a range of £2,066</w:t>
      </w:r>
      <w:r w:rsidR="003E4272">
        <w:rPr>
          <w:b w:val="0"/>
        </w:rPr>
        <w:t>/</w:t>
      </w:r>
      <w:r>
        <w:rPr>
          <w:b w:val="0"/>
        </w:rPr>
        <w:t>sqm to £2,917</w:t>
      </w:r>
      <w:r w:rsidR="003E4272">
        <w:rPr>
          <w:b w:val="0"/>
        </w:rPr>
        <w:t>/</w:t>
      </w:r>
      <w:r>
        <w:rPr>
          <w:b w:val="0"/>
        </w:rPr>
        <w:t>sqm</w:t>
      </w:r>
      <w:r w:rsidR="00C05938">
        <w:rPr>
          <w:b w:val="0"/>
        </w:rPr>
        <w:t xml:space="preserve">.  It is clear that the maximum value quoted by the Council represents an unusual case rather than </w:t>
      </w:r>
      <w:r w:rsidR="00512C21">
        <w:rPr>
          <w:b w:val="0"/>
        </w:rPr>
        <w:t xml:space="preserve">a typical one.  </w:t>
      </w:r>
      <w:r w:rsidR="0043673C">
        <w:rPr>
          <w:b w:val="0"/>
        </w:rPr>
        <w:t>I note in this context that</w:t>
      </w:r>
      <w:r w:rsidR="00512C21">
        <w:rPr>
          <w:b w:val="0"/>
        </w:rPr>
        <w:t xml:space="preserve"> the use of a maximum sales value figure to justify this boundary change is </w:t>
      </w:r>
      <w:r w:rsidR="00601110">
        <w:rPr>
          <w:b w:val="0"/>
        </w:rPr>
        <w:t>inconsistent</w:t>
      </w:r>
      <w:r w:rsidR="00512C21">
        <w:rPr>
          <w:b w:val="0"/>
        </w:rPr>
        <w:t xml:space="preserve"> with the</w:t>
      </w:r>
      <w:r w:rsidR="00E03B5E">
        <w:rPr>
          <w:b w:val="0"/>
        </w:rPr>
        <w:t xml:space="preserve"> Council’s</w:t>
      </w:r>
      <w:r w:rsidR="00512C21">
        <w:rPr>
          <w:b w:val="0"/>
        </w:rPr>
        <w:t xml:space="preserve"> reliance on average sales values in the 2016 VS (table 4.4.3).</w:t>
      </w:r>
    </w:p>
    <w:p w:rsidR="00512C21" w:rsidRDefault="00512C21" w:rsidP="00BE19AD">
      <w:pPr>
        <w:pStyle w:val="DPDIntro"/>
        <w:widowControl w:val="0"/>
        <w:numPr>
          <w:ilvl w:val="0"/>
          <w:numId w:val="13"/>
        </w:numPr>
        <w:rPr>
          <w:b w:val="0"/>
        </w:rPr>
      </w:pPr>
      <w:r>
        <w:rPr>
          <w:b w:val="0"/>
        </w:rPr>
        <w:t>Following the hearing, the Council produced an expanded version of table 4.4.3</w:t>
      </w:r>
      <w:r>
        <w:rPr>
          <w:rStyle w:val="FootnoteReference"/>
          <w:b w:val="0"/>
        </w:rPr>
        <w:footnoteReference w:id="9"/>
      </w:r>
      <w:r>
        <w:rPr>
          <w:b w:val="0"/>
        </w:rPr>
        <w:t xml:space="preserve"> </w:t>
      </w:r>
      <w:r w:rsidR="0017153F">
        <w:rPr>
          <w:b w:val="0"/>
        </w:rPr>
        <w:t>containing</w:t>
      </w:r>
      <w:r w:rsidR="00B3577F">
        <w:rPr>
          <w:b w:val="0"/>
        </w:rPr>
        <w:t xml:space="preserve"> the range of achieved sales values for the identified zones.  This enables a comparison to be made with the submitted figures for Hampton Magna</w:t>
      </w:r>
      <w:r w:rsidR="0017153F">
        <w:rPr>
          <w:b w:val="0"/>
        </w:rPr>
        <w:t>.  The result of this comparison is t</w:t>
      </w:r>
      <w:r w:rsidR="00B3577F">
        <w:rPr>
          <w:b w:val="0"/>
        </w:rPr>
        <w:t xml:space="preserve">hat sales values in Hampton Magna align more closely with those in Warwick and East Leamington Spa (zone A) than the higher value rural areas (zone D).  Indeed </w:t>
      </w:r>
      <w:r w:rsidR="00112ACE">
        <w:rPr>
          <w:b w:val="0"/>
        </w:rPr>
        <w:t xml:space="preserve">even </w:t>
      </w:r>
      <w:r w:rsidR="00B3577F">
        <w:rPr>
          <w:b w:val="0"/>
        </w:rPr>
        <w:t>the maximum value cited by the Council is somewhat less than the lowest value in zone D.</w:t>
      </w:r>
    </w:p>
    <w:p w:rsidR="000554D8" w:rsidRDefault="00506123" w:rsidP="00DA7A21">
      <w:pPr>
        <w:pStyle w:val="DPDIntro"/>
        <w:widowControl w:val="0"/>
        <w:numPr>
          <w:ilvl w:val="0"/>
          <w:numId w:val="13"/>
        </w:numPr>
        <w:rPr>
          <w:b w:val="0"/>
        </w:rPr>
      </w:pPr>
      <w:r>
        <w:rPr>
          <w:b w:val="0"/>
        </w:rPr>
        <w:t xml:space="preserve">I accept that the change from zone </w:t>
      </w:r>
      <w:r w:rsidR="00CE092E">
        <w:rPr>
          <w:b w:val="0"/>
        </w:rPr>
        <w:t>A</w:t>
      </w:r>
      <w:r>
        <w:rPr>
          <w:b w:val="0"/>
        </w:rPr>
        <w:t xml:space="preserve"> to zone </w:t>
      </w:r>
      <w:r w:rsidR="00CE092E">
        <w:rPr>
          <w:b w:val="0"/>
        </w:rPr>
        <w:t>D</w:t>
      </w:r>
      <w:r>
        <w:rPr>
          <w:b w:val="0"/>
        </w:rPr>
        <w:t xml:space="preserve"> has strong local support.  Nevertheless, </w:t>
      </w:r>
      <w:r w:rsidR="002C58BC">
        <w:rPr>
          <w:b w:val="0"/>
        </w:rPr>
        <w:t xml:space="preserve">there is a requirement that the setting of CIL rates takes into account the potential </w:t>
      </w:r>
      <w:r w:rsidR="00E24112">
        <w:rPr>
          <w:b w:val="0"/>
        </w:rPr>
        <w:t>effects on the economic viability of development.  As such, it is essential that zone boundaries are set with regard to</w:t>
      </w:r>
      <w:r w:rsidR="00DA7A21">
        <w:rPr>
          <w:b w:val="0"/>
        </w:rPr>
        <w:t>, and consistent with,</w:t>
      </w:r>
      <w:r w:rsidR="00E24112">
        <w:rPr>
          <w:b w:val="0"/>
        </w:rPr>
        <w:t xml:space="preserve"> economic viability evidence</w:t>
      </w:r>
      <w:r w:rsidR="00DA7A21">
        <w:rPr>
          <w:b w:val="0"/>
        </w:rPr>
        <w:t xml:space="preserve">.  I recommend a modification accordingly </w:t>
      </w:r>
      <w:r w:rsidR="00DA7A21">
        <w:t>[EM3]</w:t>
      </w:r>
      <w:r w:rsidR="00FB4D33" w:rsidRPr="00FB4D33">
        <w:rPr>
          <w:b w:val="0"/>
        </w:rPr>
        <w:t>.</w:t>
      </w:r>
    </w:p>
    <w:p w:rsidR="00D148DB" w:rsidRPr="003C016A" w:rsidRDefault="00D148DB" w:rsidP="003C016A">
      <w:pPr>
        <w:pStyle w:val="DPDIntro"/>
        <w:widowControl w:val="0"/>
        <w:rPr>
          <w:b w:val="0"/>
          <w:i/>
        </w:rPr>
      </w:pPr>
      <w:r w:rsidRPr="003C016A">
        <w:rPr>
          <w:b w:val="0"/>
          <w:i/>
        </w:rPr>
        <w:t>Econ</w:t>
      </w:r>
      <w:r w:rsidR="00975AD7">
        <w:rPr>
          <w:b w:val="0"/>
          <w:i/>
        </w:rPr>
        <w:t>omic viability evidence - Commercial</w:t>
      </w:r>
    </w:p>
    <w:p w:rsidR="00795026" w:rsidRDefault="00975AD7" w:rsidP="000C1F09">
      <w:pPr>
        <w:pStyle w:val="DPDIntro"/>
        <w:widowControl w:val="0"/>
        <w:numPr>
          <w:ilvl w:val="0"/>
          <w:numId w:val="13"/>
        </w:numPr>
        <w:rPr>
          <w:b w:val="0"/>
          <w:color w:val="000000" w:themeColor="text1"/>
        </w:rPr>
      </w:pPr>
      <w:r>
        <w:rPr>
          <w:b w:val="0"/>
          <w:color w:val="000000" w:themeColor="text1"/>
        </w:rPr>
        <w:t>The 2016 VS appraises a series of hypothetical commercial developments including hotels, offices</w:t>
      </w:r>
      <w:r w:rsidR="00EF34B9">
        <w:rPr>
          <w:b w:val="0"/>
          <w:color w:val="000000" w:themeColor="text1"/>
        </w:rPr>
        <w:t>, industry/warehouses and retail.  In respect of retail, three separate appraisals have been undertaken, relating to developments in the Prime Retail Area of Leamington Spa, developments elsewhere in the District and superstores/retail parks.</w:t>
      </w:r>
      <w:r>
        <w:rPr>
          <w:b w:val="0"/>
          <w:color w:val="000000" w:themeColor="text1"/>
        </w:rPr>
        <w:t xml:space="preserve"> </w:t>
      </w:r>
      <w:r w:rsidR="00C90A91">
        <w:rPr>
          <w:b w:val="0"/>
          <w:color w:val="000000" w:themeColor="text1"/>
        </w:rPr>
        <w:t xml:space="preserve"> </w:t>
      </w:r>
      <w:r w:rsidR="00795026">
        <w:rPr>
          <w:b w:val="0"/>
          <w:color w:val="000000" w:themeColor="text1"/>
        </w:rPr>
        <w:t>I am satisfied that the assumptions underlying these assessments</w:t>
      </w:r>
      <w:r w:rsidR="00795026">
        <w:rPr>
          <w:rStyle w:val="FootnoteReference"/>
          <w:b w:val="0"/>
          <w:color w:val="000000" w:themeColor="text1"/>
        </w:rPr>
        <w:footnoteReference w:id="10"/>
      </w:r>
      <w:r w:rsidR="00795026">
        <w:rPr>
          <w:b w:val="0"/>
          <w:color w:val="000000" w:themeColor="text1"/>
        </w:rPr>
        <w:t xml:space="preserve"> are reasonably based.</w:t>
      </w:r>
    </w:p>
    <w:p w:rsidR="00975AD7" w:rsidRDefault="00C90A91" w:rsidP="000C1F09">
      <w:pPr>
        <w:pStyle w:val="DPDIntro"/>
        <w:widowControl w:val="0"/>
        <w:numPr>
          <w:ilvl w:val="0"/>
          <w:numId w:val="13"/>
        </w:numPr>
        <w:rPr>
          <w:b w:val="0"/>
          <w:color w:val="000000" w:themeColor="text1"/>
        </w:rPr>
      </w:pPr>
      <w:r>
        <w:rPr>
          <w:b w:val="0"/>
          <w:color w:val="000000" w:themeColor="text1"/>
        </w:rPr>
        <w:t xml:space="preserve">As already noted, the Council proposes a clarification to the definition of the suggested retail charging rates, replacing the definition of ‘convenience-based supermarkets, superstores and retail parks’ – which had been the subject of some criticism – with the adoption of 2,500 sqm threshold, which is broadly consistent with the 30,000 square feet (2,787 sqm) size of the larger retail category (‘retail – superstores, retail parks’) that was subject to viability testing.  </w:t>
      </w:r>
      <w:r w:rsidR="00A778F5">
        <w:rPr>
          <w:b w:val="0"/>
          <w:color w:val="000000" w:themeColor="text1"/>
        </w:rPr>
        <w:t xml:space="preserve">This change has been recommended above </w:t>
      </w:r>
      <w:r w:rsidR="00A33956">
        <w:rPr>
          <w:b w:val="0"/>
          <w:color w:val="000000" w:themeColor="text1"/>
        </w:rPr>
        <w:t xml:space="preserve">to </w:t>
      </w:r>
      <w:r w:rsidR="00A778F5">
        <w:rPr>
          <w:b w:val="0"/>
          <w:color w:val="000000" w:themeColor="text1"/>
        </w:rPr>
        <w:t>provid</w:t>
      </w:r>
      <w:r w:rsidR="00A33956">
        <w:rPr>
          <w:b w:val="0"/>
          <w:color w:val="000000" w:themeColor="text1"/>
        </w:rPr>
        <w:t>e</w:t>
      </w:r>
      <w:r w:rsidR="00A778F5">
        <w:rPr>
          <w:b w:val="0"/>
          <w:color w:val="000000" w:themeColor="text1"/>
        </w:rPr>
        <w:t xml:space="preserve"> clarification.</w:t>
      </w:r>
    </w:p>
    <w:p w:rsidR="003801BE" w:rsidRPr="003801BE" w:rsidRDefault="003801BE" w:rsidP="003801BE">
      <w:pPr>
        <w:pStyle w:val="DPDIntro"/>
        <w:widowControl w:val="0"/>
        <w:numPr>
          <w:ilvl w:val="0"/>
          <w:numId w:val="13"/>
        </w:numPr>
        <w:rPr>
          <w:b w:val="0"/>
          <w:color w:val="000000" w:themeColor="text1"/>
        </w:rPr>
      </w:pPr>
      <w:r>
        <w:rPr>
          <w:b w:val="0"/>
          <w:color w:val="000000" w:themeColor="text1"/>
        </w:rPr>
        <w:t xml:space="preserve">However, I agree with a representor that the intended addition of further ‘definitions and notes’ is unnecessary in the light of the clarification provided </w:t>
      </w:r>
      <w:r>
        <w:rPr>
          <w:b w:val="0"/>
          <w:color w:val="000000" w:themeColor="text1"/>
        </w:rPr>
        <w:lastRenderedPageBreak/>
        <w:t xml:space="preserve">by the amended table – which sets out differential charging rates based on floor area and location.  Specifically, it is not necessary to state what retail development ‘will include’ as the terms of Use Class A1 are already clear. </w:t>
      </w:r>
      <w:r w:rsidR="005E526F">
        <w:rPr>
          <w:b w:val="0"/>
          <w:color w:val="000000" w:themeColor="text1"/>
        </w:rPr>
        <w:t xml:space="preserve"> </w:t>
      </w:r>
      <w:r>
        <w:rPr>
          <w:b w:val="0"/>
          <w:color w:val="000000" w:themeColor="text1"/>
        </w:rPr>
        <w:t>This additional wording, which was proposed by the Council in the post-hearing consultation, has not been included within my recommended modification.</w:t>
      </w:r>
    </w:p>
    <w:p w:rsidR="00D01C8E" w:rsidRPr="002C268F" w:rsidRDefault="0044285F" w:rsidP="00D01C8E">
      <w:pPr>
        <w:pStyle w:val="DPDIntro"/>
        <w:widowControl w:val="0"/>
        <w:rPr>
          <w:b w:val="0"/>
          <w:i/>
        </w:rPr>
      </w:pPr>
      <w:r>
        <w:rPr>
          <w:b w:val="0"/>
          <w:i/>
        </w:rPr>
        <w:t>Conclusion</w:t>
      </w:r>
    </w:p>
    <w:p w:rsidR="00D01C8E" w:rsidRPr="00D148DB" w:rsidRDefault="001C0B08" w:rsidP="00FD1D78">
      <w:pPr>
        <w:pStyle w:val="DPDIntro"/>
        <w:widowControl w:val="0"/>
        <w:numPr>
          <w:ilvl w:val="0"/>
          <w:numId w:val="13"/>
        </w:numPr>
        <w:rPr>
          <w:b w:val="0"/>
        </w:rPr>
      </w:pPr>
      <w:r>
        <w:rPr>
          <w:b w:val="0"/>
        </w:rPr>
        <w:t>The draft c</w:t>
      </w:r>
      <w:r w:rsidR="00D148DB">
        <w:rPr>
          <w:b w:val="0"/>
        </w:rPr>
        <w:t xml:space="preserve">harging </w:t>
      </w:r>
      <w:r>
        <w:rPr>
          <w:b w:val="0"/>
        </w:rPr>
        <w:t>s</w:t>
      </w:r>
      <w:r w:rsidR="00D148DB">
        <w:rPr>
          <w:b w:val="0"/>
        </w:rPr>
        <w:t xml:space="preserve">chedule is supported by detailed evidence of community infrastructure needs and economic viability justification.  On this </w:t>
      </w:r>
      <w:proofErr w:type="gramStart"/>
      <w:r w:rsidR="00D148DB">
        <w:rPr>
          <w:b w:val="0"/>
        </w:rPr>
        <w:t>basis,</w:t>
      </w:r>
      <w:proofErr w:type="gramEnd"/>
      <w:r w:rsidR="00D148DB">
        <w:rPr>
          <w:b w:val="0"/>
        </w:rPr>
        <w:t xml:space="preserve"> and subject to the modification</w:t>
      </w:r>
      <w:r w:rsidR="00DA7A21">
        <w:rPr>
          <w:b w:val="0"/>
        </w:rPr>
        <w:t>s</w:t>
      </w:r>
      <w:r w:rsidR="00D148DB">
        <w:rPr>
          <w:b w:val="0"/>
        </w:rPr>
        <w:t xml:space="preserve"> that I recommend above, I conclude that </w:t>
      </w:r>
      <w:r w:rsidR="00FD1D78">
        <w:rPr>
          <w:b w:val="0"/>
        </w:rPr>
        <w:t xml:space="preserve">the </w:t>
      </w:r>
      <w:r w:rsidR="00FD1D78" w:rsidRPr="00FD1D78">
        <w:rPr>
          <w:b w:val="0"/>
        </w:rPr>
        <w:t xml:space="preserve">charging schedule </w:t>
      </w:r>
      <w:r w:rsidR="00FD1D78">
        <w:rPr>
          <w:b w:val="0"/>
        </w:rPr>
        <w:t xml:space="preserve">is </w:t>
      </w:r>
      <w:r w:rsidR="00FD1D78" w:rsidRPr="00FD1D78">
        <w:rPr>
          <w:b w:val="0"/>
        </w:rPr>
        <w:t xml:space="preserve">supported by background documents containing appropriate available evidence </w:t>
      </w:r>
      <w:r w:rsidR="00D148DB">
        <w:rPr>
          <w:b w:val="0"/>
        </w:rPr>
        <w:t xml:space="preserve">and that the </w:t>
      </w:r>
      <w:r w:rsidR="00D148DB" w:rsidRPr="00085746">
        <w:rPr>
          <w:b w:val="0"/>
          <w:color w:val="000000"/>
        </w:rPr>
        <w:t xml:space="preserve">charging rates </w:t>
      </w:r>
      <w:r w:rsidR="00D148DB">
        <w:rPr>
          <w:b w:val="0"/>
          <w:color w:val="000000"/>
        </w:rPr>
        <w:t xml:space="preserve">are </w:t>
      </w:r>
      <w:r w:rsidR="00D148DB" w:rsidRPr="00085746">
        <w:rPr>
          <w:b w:val="0"/>
          <w:color w:val="000000"/>
        </w:rPr>
        <w:t>informed by and consistent with the evidence</w:t>
      </w:r>
      <w:r w:rsidR="00D148DB">
        <w:rPr>
          <w:b w:val="0"/>
          <w:color w:val="000000"/>
        </w:rPr>
        <w:t>.</w:t>
      </w:r>
    </w:p>
    <w:p w:rsidR="002C268F" w:rsidRPr="002C268F" w:rsidRDefault="002C268F" w:rsidP="002C268F">
      <w:pPr>
        <w:pStyle w:val="DPDIntro"/>
        <w:widowControl w:val="0"/>
        <w:rPr>
          <w:b w:val="0"/>
        </w:rPr>
      </w:pPr>
      <w:r>
        <w:t>Does the evidence demonstrate that the</w:t>
      </w:r>
      <w:r w:rsidR="00923CEE">
        <w:t xml:space="preserve"> proposed charg</w:t>
      </w:r>
      <w:r w:rsidR="00C11293">
        <w:t>ing</w:t>
      </w:r>
      <w:r w:rsidR="00923CEE">
        <w:t xml:space="preserve"> rate</w:t>
      </w:r>
      <w:r w:rsidR="00C11293">
        <w:t>s</w:t>
      </w:r>
      <w:r>
        <w:t xml:space="preserve"> would not put the overall development of the area at serious risk? </w:t>
      </w:r>
    </w:p>
    <w:p w:rsidR="004D6C3E" w:rsidRPr="004D6C3E" w:rsidRDefault="004D6C3E" w:rsidP="004D6C3E">
      <w:pPr>
        <w:pStyle w:val="DPDIntro"/>
        <w:widowControl w:val="0"/>
        <w:rPr>
          <w:b w:val="0"/>
          <w:i/>
        </w:rPr>
      </w:pPr>
      <w:r>
        <w:rPr>
          <w:b w:val="0"/>
          <w:i/>
        </w:rPr>
        <w:t>Residential Development - general</w:t>
      </w:r>
    </w:p>
    <w:p w:rsidR="00CC27E5" w:rsidRDefault="00CC27E5" w:rsidP="00CC27E5">
      <w:pPr>
        <w:pStyle w:val="DPDIntro"/>
        <w:widowControl w:val="0"/>
        <w:numPr>
          <w:ilvl w:val="0"/>
          <w:numId w:val="13"/>
        </w:numPr>
        <w:rPr>
          <w:b w:val="0"/>
        </w:rPr>
      </w:pPr>
      <w:r w:rsidRPr="00300245">
        <w:rPr>
          <w:b w:val="0"/>
        </w:rPr>
        <w:t>As already noted, three charging rates are proposed for residential development excluding the strategic sites.  In the majority of the site typologies that were tested in the 2016 VS and the additional work noted above, the studies showed that a higher charging rate (£</w:t>
      </w:r>
      <w:r w:rsidR="00A670E4">
        <w:rPr>
          <w:b w:val="0"/>
        </w:rPr>
        <w:t>220-£</w:t>
      </w:r>
      <w:r w:rsidRPr="00300245">
        <w:rPr>
          <w:b w:val="0"/>
        </w:rPr>
        <w:t>300/sqm)</w:t>
      </w:r>
      <w:r>
        <w:rPr>
          <w:b w:val="0"/>
        </w:rPr>
        <w:t xml:space="preserve"> could be achieved</w:t>
      </w:r>
      <w:r w:rsidRPr="00300245">
        <w:rPr>
          <w:b w:val="0"/>
        </w:rPr>
        <w:t xml:space="preserve"> than the maximum that is now proposed (£195/sqm</w:t>
      </w:r>
      <w:r>
        <w:rPr>
          <w:b w:val="0"/>
        </w:rPr>
        <w:t xml:space="preserve"> in zones B and D</w:t>
      </w:r>
      <w:r w:rsidRPr="00300245">
        <w:rPr>
          <w:b w:val="0"/>
        </w:rPr>
        <w:t>).</w:t>
      </w:r>
      <w:r>
        <w:rPr>
          <w:b w:val="0"/>
        </w:rPr>
        <w:t xml:space="preserve">  In general terms, this provides an indication that the respective charges are not being set at the margin of viability.</w:t>
      </w:r>
      <w:r w:rsidR="00602C0A">
        <w:rPr>
          <w:b w:val="0"/>
        </w:rPr>
        <w:t xml:space="preserve">  I am satisfied that the variation in charging rates between the different charging areas is justified by the differentials in output between the various appraisals.  Concerns in respect of affordable housing delivery are discussed later in this report.</w:t>
      </w:r>
    </w:p>
    <w:p w:rsidR="00A670E4" w:rsidRDefault="00A670E4" w:rsidP="00CC27E5">
      <w:pPr>
        <w:pStyle w:val="DPDIntro"/>
        <w:widowControl w:val="0"/>
        <w:numPr>
          <w:ilvl w:val="0"/>
          <w:numId w:val="13"/>
        </w:numPr>
        <w:rPr>
          <w:b w:val="0"/>
        </w:rPr>
      </w:pPr>
      <w:r>
        <w:rPr>
          <w:b w:val="0"/>
        </w:rPr>
        <w:t>Viability testing in respect of the strategic sites indicates that charging rates on the above levels are likely to prove challenging.  In respect of site HO3 (East of Whitnash) a nil rate is proposed.  Higher rates (£25/sqm) are justified for two strategic sites at Kenilworth, while a rate of £55/sqm has been shown to be viable on sites south of Coventry at Westwood Heath and, as already discussed, Kings Hill.</w:t>
      </w:r>
    </w:p>
    <w:p w:rsidR="00EE542B" w:rsidRPr="00C11293" w:rsidRDefault="00EE542B" w:rsidP="00C11293">
      <w:pPr>
        <w:pStyle w:val="DPDIntro"/>
        <w:widowControl w:val="0"/>
        <w:numPr>
          <w:ilvl w:val="0"/>
          <w:numId w:val="13"/>
        </w:numPr>
        <w:rPr>
          <w:b w:val="0"/>
          <w:color w:val="0000FF"/>
        </w:rPr>
      </w:pPr>
      <w:r w:rsidRPr="00EA71A6">
        <w:rPr>
          <w:b w:val="0"/>
          <w:color w:val="000000"/>
        </w:rPr>
        <w:t>Several parties express concern that the proposed residential charging rates, notably those for zones B and D, would be in excess of the CIL rates that are proposed or presently charged by other nearby local authorities.  However, there is no legislative or policy requirement for Councils to set rates that are consistent with those of their neighbours</w:t>
      </w:r>
      <w:r w:rsidRPr="00EA71A6">
        <w:rPr>
          <w:b w:val="0"/>
        </w:rPr>
        <w:t xml:space="preserve">: it is for each authority to set its own charge based upon the particular circumstances of its area and </w:t>
      </w:r>
      <w:r w:rsidR="00CE092E">
        <w:rPr>
          <w:b w:val="0"/>
        </w:rPr>
        <w:t>the viability evidence.</w:t>
      </w:r>
      <w:r w:rsidRPr="00EA71A6">
        <w:rPr>
          <w:b w:val="0"/>
        </w:rPr>
        <w:t xml:space="preserve">  </w:t>
      </w:r>
      <w:r w:rsidR="00EA71A6" w:rsidRPr="00EA71A6">
        <w:rPr>
          <w:b w:val="0"/>
        </w:rPr>
        <w:t xml:space="preserve">In the present case I note that Warwick District achieves markedly higher house values than many other authorities in the Midlands.   </w:t>
      </w:r>
      <w:r w:rsidR="008961F6">
        <w:rPr>
          <w:b w:val="0"/>
        </w:rPr>
        <w:t>As already described, t</w:t>
      </w:r>
      <w:r w:rsidR="00EA71A6" w:rsidRPr="00EA71A6">
        <w:rPr>
          <w:b w:val="0"/>
        </w:rPr>
        <w:t>he proposed charging rates have been</w:t>
      </w:r>
      <w:r w:rsidR="008961F6">
        <w:rPr>
          <w:b w:val="0"/>
        </w:rPr>
        <w:t xml:space="preserve"> subject to viability testing</w:t>
      </w:r>
      <w:r w:rsidR="00EA71A6" w:rsidRPr="00EA71A6">
        <w:rPr>
          <w:b w:val="0"/>
        </w:rPr>
        <w:t xml:space="preserve">.  </w:t>
      </w:r>
      <w:r w:rsidRPr="00EA71A6">
        <w:rPr>
          <w:b w:val="0"/>
        </w:rPr>
        <w:t xml:space="preserve">I have </w:t>
      </w:r>
      <w:r w:rsidR="00EA71A6">
        <w:rPr>
          <w:b w:val="0"/>
        </w:rPr>
        <w:t xml:space="preserve">therefore </w:t>
      </w:r>
      <w:r w:rsidRPr="00EA71A6">
        <w:rPr>
          <w:b w:val="0"/>
        </w:rPr>
        <w:t xml:space="preserve">seen no substantive evidence that differentials in charging rates between </w:t>
      </w:r>
      <w:r w:rsidR="00EA71A6" w:rsidRPr="00EA71A6">
        <w:rPr>
          <w:b w:val="0"/>
        </w:rPr>
        <w:t xml:space="preserve">Warwick District and its neighbours </w:t>
      </w:r>
      <w:r w:rsidRPr="00EA71A6">
        <w:rPr>
          <w:b w:val="0"/>
        </w:rPr>
        <w:t xml:space="preserve">would in themselves be likely to preclude </w:t>
      </w:r>
      <w:r w:rsidR="00EA71A6" w:rsidRPr="00EA71A6">
        <w:rPr>
          <w:b w:val="0"/>
        </w:rPr>
        <w:t>d</w:t>
      </w:r>
      <w:r w:rsidRPr="00EA71A6">
        <w:rPr>
          <w:b w:val="0"/>
        </w:rPr>
        <w:t xml:space="preserve">evelopments from </w:t>
      </w:r>
      <w:r w:rsidR="00EA71A6" w:rsidRPr="00EA71A6">
        <w:rPr>
          <w:b w:val="0"/>
        </w:rPr>
        <w:t>coming forward</w:t>
      </w:r>
      <w:r w:rsidRPr="00EA71A6">
        <w:rPr>
          <w:b w:val="0"/>
        </w:rPr>
        <w:t xml:space="preserve">. </w:t>
      </w:r>
    </w:p>
    <w:p w:rsidR="004D6C3E" w:rsidRPr="004D6C3E" w:rsidRDefault="004D6C3E" w:rsidP="00FB4D33">
      <w:pPr>
        <w:pStyle w:val="DPDIntro"/>
        <w:keepNext/>
        <w:rPr>
          <w:b w:val="0"/>
          <w:i/>
        </w:rPr>
      </w:pPr>
      <w:r>
        <w:rPr>
          <w:b w:val="0"/>
          <w:i/>
        </w:rPr>
        <w:lastRenderedPageBreak/>
        <w:t>Affordable Housing</w:t>
      </w:r>
    </w:p>
    <w:p w:rsidR="001D1E42" w:rsidRDefault="001D1E42" w:rsidP="000F2387">
      <w:pPr>
        <w:pStyle w:val="DPDIntro"/>
        <w:widowControl w:val="0"/>
        <w:numPr>
          <w:ilvl w:val="0"/>
          <w:numId w:val="13"/>
        </w:numPr>
        <w:rPr>
          <w:b w:val="0"/>
        </w:rPr>
      </w:pPr>
      <w:r>
        <w:rPr>
          <w:b w:val="0"/>
        </w:rPr>
        <w:t xml:space="preserve">LP policy H2 </w:t>
      </w:r>
      <w:r w:rsidR="000F2387">
        <w:rPr>
          <w:b w:val="0"/>
        </w:rPr>
        <w:t xml:space="preserve">(as adopted) </w:t>
      </w:r>
      <w:r>
        <w:rPr>
          <w:b w:val="0"/>
        </w:rPr>
        <w:t xml:space="preserve">seeks the provision of a minimum of 40% affordable housing in residential developments on </w:t>
      </w:r>
      <w:r w:rsidR="000F2387" w:rsidRPr="000F2387">
        <w:rPr>
          <w:b w:val="0"/>
        </w:rPr>
        <w:t>sites of 11 or more dwellings or where the combined gross floo</w:t>
      </w:r>
      <w:r w:rsidR="000F2387">
        <w:rPr>
          <w:b w:val="0"/>
        </w:rPr>
        <w:t>rspace is more than 1,000 sqm.  It adds that t</w:t>
      </w:r>
      <w:r w:rsidR="000F2387" w:rsidRPr="000F2387">
        <w:rPr>
          <w:b w:val="0"/>
        </w:rPr>
        <w:t>he amount of affordable housing, the form of provision, its location on the site and the means of delivery of the affordable element of the proposal will be subject to negotiation at the time of a planning application</w:t>
      </w:r>
      <w:r w:rsidR="000F2387">
        <w:rPr>
          <w:b w:val="0"/>
        </w:rPr>
        <w:t>, stating that v</w:t>
      </w:r>
      <w:r w:rsidR="000F2387" w:rsidRPr="000F2387">
        <w:rPr>
          <w:b w:val="0"/>
        </w:rPr>
        <w:t xml:space="preserve">iability of the development will be a consideration in such negotiations. </w:t>
      </w:r>
      <w:r>
        <w:rPr>
          <w:b w:val="0"/>
        </w:rPr>
        <w:t xml:space="preserve"> </w:t>
      </w:r>
    </w:p>
    <w:p w:rsidR="00FA40DA" w:rsidRDefault="000F2387" w:rsidP="00CB00EF">
      <w:pPr>
        <w:pStyle w:val="DPDIntro"/>
        <w:widowControl w:val="0"/>
        <w:numPr>
          <w:ilvl w:val="0"/>
          <w:numId w:val="13"/>
        </w:numPr>
        <w:rPr>
          <w:b w:val="0"/>
        </w:rPr>
      </w:pPr>
      <w:r>
        <w:rPr>
          <w:b w:val="0"/>
        </w:rPr>
        <w:t>The 2016 VS tested site viability based upon a range of affordable housing proportions (0% to 40%).  These appraisals show that schemes in Leamington Spa and the higher value rural area (zones B and D) can generally sustain a CIL charge of at least the £195/sqm set out in the charging schedule, while maintaining 40% affordable provision.  However, the study shows that this is more challenging in the lower value zones (A and C).  In Warwick and the surrounding lower value rural areas (zone A), a more modest charging rate of £70/sqm has been set.</w:t>
      </w:r>
      <w:r w:rsidR="00FA40DA">
        <w:rPr>
          <w:b w:val="0"/>
        </w:rPr>
        <w:t xml:space="preserve">  For most site types, the appraisals show that this would be able to support affordable housing provision of some 20-30%.  However, it is important to note that the appraisals also demonstrate that, in many cases, 40% affordable housing would not be viable even with a nil CIL rate.  </w:t>
      </w:r>
      <w:r w:rsidR="00A33956">
        <w:rPr>
          <w:b w:val="0"/>
        </w:rPr>
        <w:t>For these reasons</w:t>
      </w:r>
      <w:r w:rsidR="00FA40DA">
        <w:rPr>
          <w:b w:val="0"/>
        </w:rPr>
        <w:t>, it does not seem to me that the proposed CIL rate would materially threaten the delivery of affordable housing in this zone.</w:t>
      </w:r>
    </w:p>
    <w:p w:rsidR="00CB00EF" w:rsidRPr="00006929" w:rsidRDefault="00FA40DA" w:rsidP="00006929">
      <w:pPr>
        <w:pStyle w:val="DPDIntro"/>
        <w:widowControl w:val="0"/>
        <w:numPr>
          <w:ilvl w:val="0"/>
          <w:numId w:val="13"/>
        </w:numPr>
        <w:rPr>
          <w:b w:val="0"/>
        </w:rPr>
      </w:pPr>
      <w:r>
        <w:rPr>
          <w:b w:val="0"/>
        </w:rPr>
        <w:t xml:space="preserve">In the Kenilworth area (zone C) the appraisals show that most schemes can provide 30% affordable housing at CIL charging rates of £180 to £200/sqm.  The proposed rate £140/sqm would therefore not significantly affect the delivery of affordable housing in this zone.  </w:t>
      </w:r>
      <w:r w:rsidR="00006929">
        <w:rPr>
          <w:b w:val="0"/>
        </w:rPr>
        <w:t>But in any event, as already discussed, the relevant LP policy allows for negotiation to take place on viability effects, as has been recognised by the examining Inspector.  I am satisfied that the Council’s approach in this regard is adequately justified.</w:t>
      </w:r>
    </w:p>
    <w:p w:rsidR="004D6C3E" w:rsidRPr="004D6C3E" w:rsidRDefault="004D6C3E" w:rsidP="004D6C3E">
      <w:pPr>
        <w:pStyle w:val="DPDIntro"/>
        <w:widowControl w:val="0"/>
        <w:rPr>
          <w:b w:val="0"/>
          <w:i/>
        </w:rPr>
      </w:pPr>
      <w:r>
        <w:rPr>
          <w:b w:val="0"/>
          <w:i/>
        </w:rPr>
        <w:t>Specialist Housing for the Elderly</w:t>
      </w:r>
    </w:p>
    <w:p w:rsidR="001158CE" w:rsidRDefault="00B017FA" w:rsidP="001158CE">
      <w:pPr>
        <w:pStyle w:val="DPDIntro"/>
        <w:widowControl w:val="0"/>
        <w:numPr>
          <w:ilvl w:val="0"/>
          <w:numId w:val="13"/>
        </w:numPr>
        <w:rPr>
          <w:b w:val="0"/>
        </w:rPr>
      </w:pPr>
      <w:r>
        <w:rPr>
          <w:b w:val="0"/>
        </w:rPr>
        <w:t xml:space="preserve">Concern has been raised that the potential effects of the proposed charging rates on the viability of developments suitable for older people have not been adequately tested.  In the light of these comments, I asked the Council to undertake </w:t>
      </w:r>
      <w:r w:rsidR="001158CE">
        <w:rPr>
          <w:b w:val="0"/>
        </w:rPr>
        <w:t>further appraisals.  These were prepared after the examination hearing and, like all of the later documentation that has been presented</w:t>
      </w:r>
      <w:r w:rsidR="00CD4AC5">
        <w:rPr>
          <w:b w:val="0"/>
        </w:rPr>
        <w:t xml:space="preserve"> by the Council</w:t>
      </w:r>
      <w:r w:rsidR="001158CE">
        <w:rPr>
          <w:b w:val="0"/>
        </w:rPr>
        <w:t>, were the subject of further consultation.</w:t>
      </w:r>
    </w:p>
    <w:p w:rsidR="004D6C3E" w:rsidRPr="008C24D0" w:rsidRDefault="001158CE" w:rsidP="001158CE">
      <w:pPr>
        <w:pStyle w:val="DPDIntro"/>
        <w:widowControl w:val="0"/>
        <w:numPr>
          <w:ilvl w:val="0"/>
          <w:numId w:val="13"/>
        </w:numPr>
        <w:rPr>
          <w:b w:val="0"/>
        </w:rPr>
      </w:pPr>
      <w:r w:rsidRPr="008C24D0">
        <w:rPr>
          <w:b w:val="0"/>
        </w:rPr>
        <w:t>The appraisals relate to schemes of 30 and 50 units of a type provided by developers such as McCarthy &amp; Stone and Churchill Retirement Living.  The results</w:t>
      </w:r>
      <w:r>
        <w:rPr>
          <w:rStyle w:val="FootnoteReference"/>
          <w:b w:val="0"/>
        </w:rPr>
        <w:footnoteReference w:id="11"/>
      </w:r>
      <w:r w:rsidRPr="008C24D0">
        <w:rPr>
          <w:b w:val="0"/>
        </w:rPr>
        <w:t xml:space="preserve"> show retirement housing schemes to be marginally more viable than general purpose flatted developments</w:t>
      </w:r>
      <w:r>
        <w:rPr>
          <w:rStyle w:val="FootnoteReference"/>
          <w:b w:val="0"/>
        </w:rPr>
        <w:footnoteReference w:id="12"/>
      </w:r>
      <w:r w:rsidRPr="008C24D0">
        <w:rPr>
          <w:b w:val="0"/>
        </w:rPr>
        <w:t xml:space="preserve">.  </w:t>
      </w:r>
      <w:r w:rsidR="008C24D0" w:rsidRPr="008C24D0">
        <w:rPr>
          <w:b w:val="0"/>
        </w:rPr>
        <w:t xml:space="preserve">While there are some circumstances where appraisals have shown general housing to be unable to sustain 40% affordable housing provision, I have already commented on the relevant policy framework, including the scope for negotiation in appropriate circumstances.  </w:t>
      </w:r>
      <w:r w:rsidR="00A33956">
        <w:rPr>
          <w:b w:val="0"/>
        </w:rPr>
        <w:t>Accordingly</w:t>
      </w:r>
      <w:r w:rsidR="008C24D0" w:rsidRPr="008C24D0">
        <w:rPr>
          <w:b w:val="0"/>
        </w:rPr>
        <w:t xml:space="preserve">, </w:t>
      </w:r>
      <w:r w:rsidRPr="008C24D0">
        <w:rPr>
          <w:b w:val="0"/>
        </w:rPr>
        <w:t xml:space="preserve">I am satisfied that this evidence </w:t>
      </w:r>
      <w:r w:rsidR="008C24D0">
        <w:rPr>
          <w:b w:val="0"/>
        </w:rPr>
        <w:t xml:space="preserve">before me </w:t>
      </w:r>
      <w:r w:rsidRPr="008C24D0">
        <w:rPr>
          <w:b w:val="0"/>
        </w:rPr>
        <w:t xml:space="preserve">does not justify the setting of a separate charging rate for this type of accommodation. </w:t>
      </w:r>
    </w:p>
    <w:p w:rsidR="0017153F" w:rsidRPr="0017153F" w:rsidRDefault="0017153F" w:rsidP="0017153F">
      <w:pPr>
        <w:pStyle w:val="DPDIntro"/>
        <w:widowControl w:val="0"/>
        <w:rPr>
          <w:b w:val="0"/>
          <w:i/>
        </w:rPr>
      </w:pPr>
      <w:r w:rsidRPr="0017153F">
        <w:rPr>
          <w:b w:val="0"/>
          <w:i/>
        </w:rPr>
        <w:lastRenderedPageBreak/>
        <w:t>Student Housing</w:t>
      </w:r>
    </w:p>
    <w:p w:rsidR="0017153F" w:rsidRDefault="0017153F" w:rsidP="00CD4AC5">
      <w:pPr>
        <w:pStyle w:val="DPDIntro"/>
        <w:widowControl w:val="0"/>
        <w:numPr>
          <w:ilvl w:val="0"/>
          <w:numId w:val="13"/>
        </w:numPr>
        <w:rPr>
          <w:b w:val="0"/>
        </w:rPr>
      </w:pPr>
      <w:r>
        <w:rPr>
          <w:b w:val="0"/>
        </w:rPr>
        <w:t xml:space="preserve">An appraisal has been undertaken of student housing assuming a hall of residence type development with </w:t>
      </w:r>
      <w:proofErr w:type="spellStart"/>
      <w:r>
        <w:rPr>
          <w:b w:val="0"/>
        </w:rPr>
        <w:t>en</w:t>
      </w:r>
      <w:proofErr w:type="spellEnd"/>
      <w:r>
        <w:rPr>
          <w:b w:val="0"/>
        </w:rPr>
        <w:t>-suite bathrooms and communal kitchens/living space.  Rents charged by the University of Warwick have been assumed.  The appraisal indicates that such developments could achieve a maximum CIL rate of £148/sqm.  The proposed</w:t>
      </w:r>
      <w:r w:rsidR="00CD4AC5">
        <w:rPr>
          <w:b w:val="0"/>
        </w:rPr>
        <w:t xml:space="preserve"> charging</w:t>
      </w:r>
      <w:r>
        <w:rPr>
          <w:b w:val="0"/>
        </w:rPr>
        <w:t xml:space="preserve"> rate of £100/sqm, which would apply across the District, therefore includes a </w:t>
      </w:r>
      <w:r w:rsidR="00CD4AC5">
        <w:rPr>
          <w:b w:val="0"/>
        </w:rPr>
        <w:t>clear margin for viability.</w:t>
      </w:r>
      <w:r>
        <w:rPr>
          <w:b w:val="0"/>
        </w:rPr>
        <w:t xml:space="preserve">  I have seen no substantive evidence that this would </w:t>
      </w:r>
      <w:r w:rsidR="00CD4AC5">
        <w:rPr>
          <w:b w:val="0"/>
        </w:rPr>
        <w:t>preclude such developments from coming forward</w:t>
      </w:r>
      <w:r>
        <w:rPr>
          <w:b w:val="0"/>
        </w:rPr>
        <w:t xml:space="preserve">.  Furthermore, the 2016 VS comments that such charges would not apply to accommodation developed by the University itself, as it would benefit from exemption under Regulation 43.   </w:t>
      </w:r>
    </w:p>
    <w:p w:rsidR="0017153F" w:rsidRPr="0017153F" w:rsidRDefault="0017153F" w:rsidP="0017153F">
      <w:pPr>
        <w:pStyle w:val="DPDIntro"/>
        <w:widowControl w:val="0"/>
        <w:rPr>
          <w:b w:val="0"/>
          <w:i/>
        </w:rPr>
      </w:pPr>
      <w:r w:rsidRPr="0017153F">
        <w:rPr>
          <w:b w:val="0"/>
          <w:i/>
        </w:rPr>
        <w:t>Commercial Uses</w:t>
      </w:r>
    </w:p>
    <w:p w:rsidR="0017153F" w:rsidRDefault="0017153F" w:rsidP="0017153F">
      <w:pPr>
        <w:pStyle w:val="DPDIntro"/>
        <w:widowControl w:val="0"/>
        <w:numPr>
          <w:ilvl w:val="0"/>
          <w:numId w:val="13"/>
        </w:numPr>
        <w:rPr>
          <w:b w:val="0"/>
          <w:color w:val="000000" w:themeColor="text1"/>
        </w:rPr>
      </w:pPr>
      <w:r>
        <w:rPr>
          <w:b w:val="0"/>
          <w:color w:val="000000" w:themeColor="text1"/>
        </w:rPr>
        <w:t>The appraisals demonstrate that the majority of commercial uses tested would be unlikely to be able to absorb any level of CIL payment.  I have seen no evidence that would cause me to take a different view.  The exceptions relate to retail development in the Prime Retail Zone of Leamington Spa and to the larger retail schemes already discussed</w:t>
      </w:r>
      <w:r>
        <w:rPr>
          <w:rStyle w:val="FootnoteReference"/>
          <w:b w:val="0"/>
          <w:color w:val="000000" w:themeColor="text1"/>
        </w:rPr>
        <w:footnoteReference w:id="13"/>
      </w:r>
      <w:r>
        <w:rPr>
          <w:b w:val="0"/>
          <w:color w:val="000000" w:themeColor="text1"/>
        </w:rPr>
        <w:t xml:space="preserve">.  In respect of Leamington’s Prime Retail Zone, the development appraisals indicate that, in viability terms, a charging rate of </w:t>
      </w:r>
      <w:r w:rsidR="000D4DE3">
        <w:rPr>
          <w:b w:val="0"/>
          <w:color w:val="000000" w:themeColor="text1"/>
        </w:rPr>
        <w:t xml:space="preserve">up to </w:t>
      </w:r>
      <w:r>
        <w:rPr>
          <w:b w:val="0"/>
          <w:color w:val="000000" w:themeColor="text1"/>
        </w:rPr>
        <w:t xml:space="preserve">£133/sqm could be achieved at the highest current use value.  The proposed charging rate of £65/sqm represents approximately half of this figure, and is therefore a conservative estimate.  Nevertheless, the 2016 VS </w:t>
      </w:r>
      <w:proofErr w:type="gramStart"/>
      <w:r>
        <w:rPr>
          <w:b w:val="0"/>
          <w:color w:val="000000" w:themeColor="text1"/>
        </w:rPr>
        <w:t>accepts</w:t>
      </w:r>
      <w:proofErr w:type="gramEnd"/>
      <w:r>
        <w:rPr>
          <w:b w:val="0"/>
          <w:color w:val="000000" w:themeColor="text1"/>
        </w:rPr>
        <w:t xml:space="preserve"> that a significant proportion of development activity in this area involves the re-use of existing units.  As such, it is unlikely that CIL revenues will be high from this source.</w:t>
      </w:r>
    </w:p>
    <w:p w:rsidR="0017153F" w:rsidRDefault="0017153F" w:rsidP="0017153F">
      <w:pPr>
        <w:pStyle w:val="DPDIntro"/>
        <w:widowControl w:val="0"/>
        <w:numPr>
          <w:ilvl w:val="0"/>
          <w:numId w:val="13"/>
        </w:numPr>
        <w:rPr>
          <w:b w:val="0"/>
          <w:color w:val="000000" w:themeColor="text1"/>
        </w:rPr>
      </w:pPr>
      <w:r>
        <w:rPr>
          <w:b w:val="0"/>
          <w:color w:val="000000" w:themeColor="text1"/>
        </w:rPr>
        <w:t xml:space="preserve">The effect on the viability of larger retail schemes has been tested on the basis of a 30,000 square foot development (2,787 sqm).  The floorspace threshold of 2,500 sqm that the Council proposes to add to the charging schedule </w:t>
      </w:r>
      <w:r>
        <w:rPr>
          <w:color w:val="000000" w:themeColor="text1"/>
        </w:rPr>
        <w:t xml:space="preserve">[EM1] </w:t>
      </w:r>
      <w:r w:rsidRPr="001C196A">
        <w:rPr>
          <w:b w:val="0"/>
          <w:color w:val="000000" w:themeColor="text1"/>
        </w:rPr>
        <w:t>i</w:t>
      </w:r>
      <w:r w:rsidRPr="002475F0">
        <w:rPr>
          <w:b w:val="0"/>
          <w:color w:val="000000" w:themeColor="text1"/>
        </w:rPr>
        <w:t>s therefore</w:t>
      </w:r>
      <w:r>
        <w:rPr>
          <w:b w:val="0"/>
          <w:color w:val="000000" w:themeColor="text1"/>
        </w:rPr>
        <w:t xml:space="preserve"> broadly consistent with the evidence base.  In addition it equates to the default floorspace threshold that the National Planning Policy Framework adopts for retail impact assessments</w:t>
      </w:r>
      <w:r>
        <w:rPr>
          <w:rStyle w:val="FootnoteReference"/>
          <w:b w:val="0"/>
          <w:color w:val="000000" w:themeColor="text1"/>
        </w:rPr>
        <w:footnoteReference w:id="14"/>
      </w:r>
      <w:r>
        <w:rPr>
          <w:b w:val="0"/>
          <w:color w:val="000000" w:themeColor="text1"/>
        </w:rPr>
        <w:t>.</w:t>
      </w:r>
    </w:p>
    <w:p w:rsidR="0017153F" w:rsidRPr="0017153F" w:rsidRDefault="0017153F" w:rsidP="0017153F">
      <w:pPr>
        <w:pStyle w:val="DPDIntro"/>
        <w:widowControl w:val="0"/>
        <w:numPr>
          <w:ilvl w:val="0"/>
          <w:numId w:val="13"/>
        </w:numPr>
        <w:rPr>
          <w:b w:val="0"/>
          <w:color w:val="000000" w:themeColor="text1"/>
        </w:rPr>
      </w:pPr>
      <w:r>
        <w:rPr>
          <w:b w:val="0"/>
          <w:color w:val="000000" w:themeColor="text1"/>
        </w:rPr>
        <w:t xml:space="preserve">In terms of viability, the development appraisals indicate that a charging rate of </w:t>
      </w:r>
      <w:r w:rsidR="00753FBB">
        <w:rPr>
          <w:b w:val="0"/>
          <w:color w:val="000000" w:themeColor="text1"/>
        </w:rPr>
        <w:t xml:space="preserve">up to </w:t>
      </w:r>
      <w:r>
        <w:rPr>
          <w:b w:val="0"/>
          <w:color w:val="000000" w:themeColor="text1"/>
        </w:rPr>
        <w:t>£151/sqm could be achieved at the highest current use value</w:t>
      </w:r>
      <w:r>
        <w:rPr>
          <w:rStyle w:val="FootnoteReference"/>
          <w:b w:val="0"/>
          <w:color w:val="000000" w:themeColor="text1"/>
        </w:rPr>
        <w:footnoteReference w:id="15"/>
      </w:r>
      <w:r>
        <w:rPr>
          <w:b w:val="0"/>
          <w:color w:val="000000" w:themeColor="text1"/>
        </w:rPr>
        <w:t xml:space="preserve">.  While this conclusion has not been substantively challenged, concern has been raised that the charging rate set out in the draft charging schedule (£105/sqm), which represents an increase from the rate that was originally suggested, represents a higher proportion of the appraisal output figure than the figure for Leamington’s Prime Retail Zone discussed above.  Clearly, this would represent a smaller viability ‘buffer’.  However, the resulting charging rate would still be well within what the appraisals suggest could be achieved without adversely affecting scheme viability.  Furthermore, the resulting proportion would not be dissimilar to that adopted for other uses by the 2016 VS – for example student housing, as discussed above.  It does not therefore </w:t>
      </w:r>
      <w:r>
        <w:rPr>
          <w:b w:val="0"/>
          <w:color w:val="000000" w:themeColor="text1"/>
        </w:rPr>
        <w:lastRenderedPageBreak/>
        <w:t xml:space="preserve">seem to me that the proposed charging rate for larger retail developments would be at the margins of viability.  </w:t>
      </w:r>
    </w:p>
    <w:p w:rsidR="00C11293" w:rsidRPr="00085746" w:rsidRDefault="00C11293" w:rsidP="00C11293">
      <w:pPr>
        <w:pStyle w:val="DPDIntro"/>
        <w:widowControl w:val="0"/>
        <w:rPr>
          <w:b w:val="0"/>
          <w:i/>
          <w:color w:val="000000"/>
        </w:rPr>
      </w:pPr>
      <w:r w:rsidRPr="00085746">
        <w:rPr>
          <w:b w:val="0"/>
          <w:i/>
        </w:rPr>
        <w:t>Conclusion</w:t>
      </w:r>
    </w:p>
    <w:p w:rsidR="00C11293" w:rsidRDefault="00C11293" w:rsidP="00C11293">
      <w:pPr>
        <w:pStyle w:val="DPDIntro"/>
        <w:widowControl w:val="0"/>
        <w:numPr>
          <w:ilvl w:val="0"/>
          <w:numId w:val="13"/>
        </w:numPr>
        <w:rPr>
          <w:b w:val="0"/>
        </w:rPr>
      </w:pPr>
      <w:r>
        <w:rPr>
          <w:b w:val="0"/>
        </w:rPr>
        <w:t xml:space="preserve">I conclude that </w:t>
      </w:r>
      <w:r w:rsidRPr="00380B6F">
        <w:rPr>
          <w:b w:val="0"/>
        </w:rPr>
        <w:t>the evidence demonstrate</w:t>
      </w:r>
      <w:r>
        <w:rPr>
          <w:b w:val="0"/>
        </w:rPr>
        <w:t>s</w:t>
      </w:r>
      <w:r w:rsidRPr="00380B6F">
        <w:rPr>
          <w:b w:val="0"/>
        </w:rPr>
        <w:t xml:space="preserve"> that</w:t>
      </w:r>
      <w:r w:rsidR="00B83DD6">
        <w:rPr>
          <w:b w:val="0"/>
        </w:rPr>
        <w:t>, subject to the recommended modification</w:t>
      </w:r>
      <w:r w:rsidR="00322911">
        <w:rPr>
          <w:b w:val="0"/>
        </w:rPr>
        <w:t>s</w:t>
      </w:r>
      <w:r w:rsidR="00B83DD6">
        <w:rPr>
          <w:b w:val="0"/>
        </w:rPr>
        <w:t>,</w:t>
      </w:r>
      <w:r w:rsidRPr="00380B6F">
        <w:rPr>
          <w:b w:val="0"/>
        </w:rPr>
        <w:t xml:space="preserve"> the proposed charg</w:t>
      </w:r>
      <w:r>
        <w:rPr>
          <w:b w:val="0"/>
        </w:rPr>
        <w:t>ing</w:t>
      </w:r>
      <w:r w:rsidRPr="00380B6F">
        <w:rPr>
          <w:b w:val="0"/>
        </w:rPr>
        <w:t xml:space="preserve"> rate</w:t>
      </w:r>
      <w:r>
        <w:rPr>
          <w:b w:val="0"/>
        </w:rPr>
        <w:t>s</w:t>
      </w:r>
      <w:r w:rsidRPr="00380B6F">
        <w:rPr>
          <w:b w:val="0"/>
        </w:rPr>
        <w:t xml:space="preserve"> would not put the overall development of the area at serious risk</w:t>
      </w:r>
      <w:r>
        <w:rPr>
          <w:b w:val="0"/>
        </w:rPr>
        <w:t>.</w:t>
      </w:r>
    </w:p>
    <w:p w:rsidR="00C11293" w:rsidRPr="00C11293" w:rsidRDefault="00C11293" w:rsidP="00C11293">
      <w:pPr>
        <w:pStyle w:val="DPDIntro"/>
        <w:widowControl w:val="0"/>
      </w:pPr>
      <w:r>
        <w:t>Other Matters</w:t>
      </w:r>
    </w:p>
    <w:p w:rsidR="00C11293" w:rsidRPr="001158CE" w:rsidRDefault="00C11293" w:rsidP="00C11293">
      <w:pPr>
        <w:pStyle w:val="DPDIntro"/>
        <w:widowControl w:val="0"/>
        <w:numPr>
          <w:ilvl w:val="0"/>
          <w:numId w:val="13"/>
        </w:numPr>
        <w:rPr>
          <w:b w:val="0"/>
        </w:rPr>
      </w:pPr>
      <w:r w:rsidRPr="001158CE">
        <w:rPr>
          <w:b w:val="0"/>
        </w:rPr>
        <w:t>All of the written representations in respect of the draft charging schedule have been considered.  Some of these relate to matters that are not within the scope of this examination, including comments about the draft Regulation 123 list of infrastructure to be funded by CIL.</w:t>
      </w:r>
    </w:p>
    <w:p w:rsidR="005807A3" w:rsidRPr="00ED32F6" w:rsidRDefault="00ED32F6" w:rsidP="001158CE">
      <w:pPr>
        <w:pStyle w:val="DPDIntro"/>
        <w:keepNext/>
      </w:pPr>
      <w:r w:rsidRPr="00E44BC3">
        <w:t>Conclusion</w:t>
      </w:r>
    </w:p>
    <w:p w:rsidR="00C30388" w:rsidRPr="00E44BC3" w:rsidRDefault="00997220" w:rsidP="00B879A0">
      <w:pPr>
        <w:pStyle w:val="DPDIntro"/>
        <w:widowControl w:val="0"/>
        <w:numPr>
          <w:ilvl w:val="0"/>
          <w:numId w:val="13"/>
        </w:numPr>
        <w:rPr>
          <w:b w:val="0"/>
          <w:color w:val="0000FF"/>
        </w:rPr>
      </w:pPr>
      <w:r w:rsidRPr="000919F4">
        <w:rPr>
          <w:b w:val="0"/>
        </w:rPr>
        <w:t xml:space="preserve">In setting the </w:t>
      </w:r>
      <w:r>
        <w:rPr>
          <w:b w:val="0"/>
        </w:rPr>
        <w:t xml:space="preserve">CIL </w:t>
      </w:r>
      <w:r w:rsidRPr="000919F4">
        <w:rPr>
          <w:b w:val="0"/>
        </w:rPr>
        <w:t>charging rate</w:t>
      </w:r>
      <w:r w:rsidR="00B879A0">
        <w:rPr>
          <w:b w:val="0"/>
        </w:rPr>
        <w:t>s</w:t>
      </w:r>
      <w:r w:rsidRPr="000919F4">
        <w:rPr>
          <w:b w:val="0"/>
        </w:rPr>
        <w:t xml:space="preserve"> the Council has had regard to detailed evidence on infrastructure planning and the economic viability evidence of the </w:t>
      </w:r>
      <w:r>
        <w:rPr>
          <w:b w:val="0"/>
        </w:rPr>
        <w:t>development market in</w:t>
      </w:r>
      <w:r w:rsidR="00D148DB">
        <w:rPr>
          <w:b w:val="0"/>
        </w:rPr>
        <w:t xml:space="preserve"> Warwick District.</w:t>
      </w:r>
      <w:r w:rsidRPr="00E44BC3">
        <w:rPr>
          <w:b w:val="0"/>
          <w:color w:val="0000FF"/>
        </w:rPr>
        <w:t xml:space="preserve"> </w:t>
      </w:r>
      <w:r w:rsidR="00D148DB">
        <w:rPr>
          <w:b w:val="0"/>
          <w:color w:val="0000FF"/>
        </w:rPr>
        <w:t xml:space="preserve"> </w:t>
      </w:r>
      <w:r w:rsidR="00CB6902">
        <w:rPr>
          <w:b w:val="0"/>
        </w:rPr>
        <w:t>T</w:t>
      </w:r>
      <w:r w:rsidR="00BE2873" w:rsidRPr="00C557D3">
        <w:rPr>
          <w:b w:val="0"/>
        </w:rPr>
        <w:t xml:space="preserve">he Council has </w:t>
      </w:r>
      <w:r w:rsidR="00CB6902">
        <w:rPr>
          <w:b w:val="0"/>
        </w:rPr>
        <w:t xml:space="preserve">tried to </w:t>
      </w:r>
      <w:r>
        <w:rPr>
          <w:b w:val="0"/>
        </w:rPr>
        <w:t xml:space="preserve">be </w:t>
      </w:r>
      <w:r w:rsidR="00CB6902">
        <w:rPr>
          <w:b w:val="0"/>
        </w:rPr>
        <w:t>realistic in terms of achieving a reasonable level</w:t>
      </w:r>
      <w:r w:rsidR="004C3824">
        <w:rPr>
          <w:b w:val="0"/>
        </w:rPr>
        <w:t xml:space="preserve"> of</w:t>
      </w:r>
      <w:r w:rsidR="00CB6902">
        <w:rPr>
          <w:b w:val="0"/>
        </w:rPr>
        <w:t xml:space="preserve"> income to address an acknowledged gap in infrastructure funding, while ensuring that a range of development remains viable across the</w:t>
      </w:r>
      <w:r w:rsidR="00B879A0">
        <w:rPr>
          <w:b w:val="0"/>
        </w:rPr>
        <w:t xml:space="preserve"> Council area</w:t>
      </w:r>
      <w:r w:rsidR="00CD593E">
        <w:rPr>
          <w:b w:val="0"/>
        </w:rPr>
        <w:t xml:space="preserve">. </w:t>
      </w:r>
      <w:r w:rsidR="00B879A0">
        <w:rPr>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gridCol w:w="4760"/>
      </w:tblGrid>
      <w:tr w:rsidR="00F374CB" w:rsidRPr="00F314CD" w:rsidTr="00F314CD">
        <w:tc>
          <w:tcPr>
            <w:tcW w:w="9520" w:type="dxa"/>
            <w:gridSpan w:val="2"/>
            <w:shd w:val="clear" w:color="auto" w:fill="auto"/>
          </w:tcPr>
          <w:p w:rsidR="00F374CB" w:rsidRPr="003D34FB" w:rsidRDefault="00F374CB" w:rsidP="00F314CD">
            <w:pPr>
              <w:pStyle w:val="DPDIntro"/>
              <w:widowControl w:val="0"/>
            </w:pPr>
            <w:r w:rsidRPr="003D34FB">
              <w:t>LEGAL REQUIREMENTS</w:t>
            </w:r>
          </w:p>
        </w:tc>
      </w:tr>
      <w:tr w:rsidR="00F374CB" w:rsidRPr="00F314CD" w:rsidTr="00F314CD">
        <w:tc>
          <w:tcPr>
            <w:tcW w:w="4760" w:type="dxa"/>
            <w:shd w:val="clear" w:color="auto" w:fill="auto"/>
          </w:tcPr>
          <w:p w:rsidR="00F374CB" w:rsidRPr="00F314CD" w:rsidRDefault="00F374CB" w:rsidP="00F314CD">
            <w:pPr>
              <w:pStyle w:val="DPDIntro"/>
              <w:widowControl w:val="0"/>
              <w:rPr>
                <w:b w:val="0"/>
              </w:rPr>
            </w:pPr>
            <w:r w:rsidRPr="00F314CD">
              <w:rPr>
                <w:b w:val="0"/>
              </w:rPr>
              <w:t>National Policy/Guidance</w:t>
            </w:r>
          </w:p>
        </w:tc>
        <w:tc>
          <w:tcPr>
            <w:tcW w:w="4760" w:type="dxa"/>
            <w:shd w:val="clear" w:color="auto" w:fill="auto"/>
          </w:tcPr>
          <w:p w:rsidR="00F374CB" w:rsidRPr="00F314CD" w:rsidRDefault="00F374CB" w:rsidP="00F314CD">
            <w:pPr>
              <w:pStyle w:val="DPDIntro"/>
              <w:widowControl w:val="0"/>
              <w:rPr>
                <w:b w:val="0"/>
              </w:rPr>
            </w:pPr>
            <w:r w:rsidRPr="00F314CD">
              <w:rPr>
                <w:b w:val="0"/>
              </w:rPr>
              <w:t>The Charging Schedul</w:t>
            </w:r>
            <w:r w:rsidR="005002A6">
              <w:rPr>
                <w:b w:val="0"/>
              </w:rPr>
              <w:t xml:space="preserve">e complies with national policy and </w:t>
            </w:r>
            <w:r w:rsidRPr="00F314CD">
              <w:rPr>
                <w:b w:val="0"/>
              </w:rPr>
              <w:t>guidance.</w:t>
            </w:r>
          </w:p>
        </w:tc>
      </w:tr>
      <w:tr w:rsidR="00F374CB" w:rsidRPr="00F314CD" w:rsidTr="00F314CD">
        <w:tc>
          <w:tcPr>
            <w:tcW w:w="4760" w:type="dxa"/>
            <w:shd w:val="clear" w:color="auto" w:fill="auto"/>
          </w:tcPr>
          <w:p w:rsidR="00F374CB" w:rsidRPr="00F314CD" w:rsidRDefault="00F374CB" w:rsidP="00F314CD">
            <w:pPr>
              <w:pStyle w:val="DPDIntro"/>
              <w:widowControl w:val="0"/>
              <w:rPr>
                <w:b w:val="0"/>
              </w:rPr>
            </w:pPr>
            <w:r w:rsidRPr="00F314CD">
              <w:rPr>
                <w:b w:val="0"/>
              </w:rPr>
              <w:t>2008 Planning Act and 2010 Regulations (as amended</w:t>
            </w:r>
            <w:r w:rsidR="00E125CF" w:rsidRPr="00F314CD">
              <w:rPr>
                <w:b w:val="0"/>
              </w:rPr>
              <w:t>)</w:t>
            </w:r>
          </w:p>
        </w:tc>
        <w:tc>
          <w:tcPr>
            <w:tcW w:w="4760" w:type="dxa"/>
            <w:shd w:val="clear" w:color="auto" w:fill="auto"/>
          </w:tcPr>
          <w:p w:rsidR="00F374CB" w:rsidRPr="00F314CD" w:rsidRDefault="00F374CB" w:rsidP="00DC30D1">
            <w:pPr>
              <w:pStyle w:val="DPDIntro"/>
              <w:widowControl w:val="0"/>
              <w:rPr>
                <w:b w:val="0"/>
              </w:rPr>
            </w:pPr>
            <w:r w:rsidRPr="00F314CD">
              <w:rPr>
                <w:b w:val="0"/>
              </w:rPr>
              <w:t xml:space="preserve">The Charging Schedule complies with the Act and the Regulations, including in respect of the statutory processes and public consultation, consistency with the </w:t>
            </w:r>
            <w:r w:rsidR="00B879A0">
              <w:rPr>
                <w:b w:val="0"/>
              </w:rPr>
              <w:t xml:space="preserve">Local Plan </w:t>
            </w:r>
            <w:r w:rsidRPr="00F314CD">
              <w:rPr>
                <w:b w:val="0"/>
              </w:rPr>
              <w:t>and Infrastructure Delivery Plan and is supported by an adequate financial appraisal.</w:t>
            </w:r>
          </w:p>
        </w:tc>
      </w:tr>
    </w:tbl>
    <w:p w:rsidR="009E1E7F" w:rsidRDefault="00F374CB" w:rsidP="009E1E7F">
      <w:pPr>
        <w:pStyle w:val="DPDIntro"/>
        <w:widowControl w:val="0"/>
        <w:numPr>
          <w:ilvl w:val="0"/>
          <w:numId w:val="13"/>
        </w:numPr>
        <w:rPr>
          <w:b w:val="0"/>
        </w:rPr>
      </w:pPr>
      <w:r w:rsidRPr="00F374CB">
        <w:rPr>
          <w:b w:val="0"/>
        </w:rPr>
        <w:t xml:space="preserve">I conclude that </w:t>
      </w:r>
      <w:r w:rsidR="0090530A" w:rsidRPr="005002A6">
        <w:rPr>
          <w:b w:val="0"/>
          <w:color w:val="000000" w:themeColor="text1"/>
        </w:rPr>
        <w:t>subject to the modification</w:t>
      </w:r>
      <w:r w:rsidR="005002A6">
        <w:rPr>
          <w:b w:val="0"/>
          <w:color w:val="000000" w:themeColor="text1"/>
        </w:rPr>
        <w:t>s</w:t>
      </w:r>
      <w:r w:rsidR="0090530A" w:rsidRPr="005002A6">
        <w:rPr>
          <w:b w:val="0"/>
          <w:color w:val="000000" w:themeColor="text1"/>
        </w:rPr>
        <w:t xml:space="preserve"> set out in Appendix A </w:t>
      </w:r>
      <w:r w:rsidRPr="005002A6">
        <w:rPr>
          <w:b w:val="0"/>
          <w:color w:val="000000" w:themeColor="text1"/>
        </w:rPr>
        <w:t>t</w:t>
      </w:r>
      <w:r w:rsidRPr="00F374CB">
        <w:rPr>
          <w:b w:val="0"/>
        </w:rPr>
        <w:t>he</w:t>
      </w:r>
      <w:r w:rsidR="005002A6">
        <w:rPr>
          <w:b w:val="0"/>
        </w:rPr>
        <w:t xml:space="preserve"> Warwick District Council</w:t>
      </w:r>
      <w:r w:rsidR="00C30388">
        <w:rPr>
          <w:b w:val="0"/>
        </w:rPr>
        <w:t xml:space="preserve"> </w:t>
      </w:r>
      <w:r w:rsidRPr="00F374CB">
        <w:rPr>
          <w:b w:val="0"/>
        </w:rPr>
        <w:t xml:space="preserve">Community Infrastructure Levy Charging Schedule satisfies the requirements of Section 212 of the 2008 Act and meets the criteria for viability in the 2010 Regulations (as amended).  </w:t>
      </w:r>
      <w:r w:rsidR="00C30388">
        <w:rPr>
          <w:b w:val="0"/>
        </w:rPr>
        <w:t>I</w:t>
      </w:r>
      <w:r w:rsidR="0001025B">
        <w:rPr>
          <w:b w:val="0"/>
        </w:rPr>
        <w:t xml:space="preserve"> therefore </w:t>
      </w:r>
      <w:r w:rsidR="00264EF8">
        <w:rPr>
          <w:b w:val="0"/>
        </w:rPr>
        <w:t xml:space="preserve">recommend that the </w:t>
      </w:r>
      <w:r w:rsidR="0001025B">
        <w:rPr>
          <w:b w:val="0"/>
        </w:rPr>
        <w:t>Charging Schedule</w:t>
      </w:r>
      <w:r w:rsidR="00264EF8">
        <w:rPr>
          <w:b w:val="0"/>
        </w:rPr>
        <w:t xml:space="preserve"> be approved</w:t>
      </w:r>
      <w:r w:rsidR="0001025B">
        <w:rPr>
          <w:b w:val="0"/>
        </w:rPr>
        <w:t>.</w:t>
      </w:r>
    </w:p>
    <w:p w:rsidR="005002A6" w:rsidRDefault="005002A6">
      <w:pPr>
        <w:spacing w:before="180" w:after="180"/>
        <w:rPr>
          <w:rFonts w:ascii="Monotype Corsiva" w:hAnsi="Monotype Corsiva"/>
          <w:i/>
          <w:sz w:val="36"/>
          <w:szCs w:val="36"/>
        </w:rPr>
      </w:pPr>
      <w:r>
        <w:rPr>
          <w:rFonts w:ascii="Monotype Corsiva" w:hAnsi="Monotype Corsiva"/>
          <w:i/>
          <w:sz w:val="36"/>
          <w:szCs w:val="36"/>
        </w:rPr>
        <w:t>M J Hetherington</w:t>
      </w:r>
    </w:p>
    <w:p w:rsidR="005002A6" w:rsidRPr="00ED32F6" w:rsidRDefault="005002A6" w:rsidP="005002A6">
      <w:pPr>
        <w:pStyle w:val="DPDIntro"/>
        <w:widowControl w:val="0"/>
        <w:rPr>
          <w:b w:val="0"/>
        </w:rPr>
      </w:pPr>
      <w:r>
        <w:rPr>
          <w:b w:val="0"/>
        </w:rPr>
        <w:t>EXAMINER</w:t>
      </w:r>
    </w:p>
    <w:p w:rsidR="0090530A" w:rsidRDefault="0090530A" w:rsidP="00565395">
      <w:pPr>
        <w:pStyle w:val="DPDReportNumberedParaIntro"/>
        <w:numPr>
          <w:ilvl w:val="0"/>
          <w:numId w:val="0"/>
        </w:numPr>
        <w:rPr>
          <w:szCs w:val="22"/>
        </w:rPr>
      </w:pPr>
      <w:r>
        <w:rPr>
          <w:szCs w:val="22"/>
        </w:rPr>
        <w:t xml:space="preserve">This </w:t>
      </w:r>
      <w:r w:rsidR="006B26A4">
        <w:rPr>
          <w:szCs w:val="22"/>
        </w:rPr>
        <w:t>report is</w:t>
      </w:r>
      <w:r>
        <w:rPr>
          <w:szCs w:val="22"/>
        </w:rPr>
        <w:t xml:space="preserve"> accompanied by:</w:t>
      </w:r>
    </w:p>
    <w:p w:rsidR="009E0ED1" w:rsidRDefault="0090530A" w:rsidP="00A33956">
      <w:pPr>
        <w:pStyle w:val="DPDReportNumberedParaIntro"/>
        <w:numPr>
          <w:ilvl w:val="0"/>
          <w:numId w:val="0"/>
        </w:numPr>
        <w:rPr>
          <w:b/>
        </w:rPr>
      </w:pPr>
      <w:r>
        <w:rPr>
          <w:szCs w:val="22"/>
        </w:rPr>
        <w:t>Appendix A (</w:t>
      </w:r>
      <w:r w:rsidR="006B26A4">
        <w:rPr>
          <w:szCs w:val="22"/>
        </w:rPr>
        <w:t>attached</w:t>
      </w:r>
      <w:r>
        <w:rPr>
          <w:szCs w:val="22"/>
        </w:rPr>
        <w:t xml:space="preserve">) – </w:t>
      </w:r>
      <w:r w:rsidR="006B26A4">
        <w:rPr>
          <w:szCs w:val="22"/>
        </w:rPr>
        <w:t>Modification</w:t>
      </w:r>
      <w:r>
        <w:rPr>
          <w:szCs w:val="22"/>
        </w:rPr>
        <w:t>s tha</w:t>
      </w:r>
      <w:r w:rsidR="006B26A4">
        <w:rPr>
          <w:szCs w:val="22"/>
        </w:rPr>
        <w:t>t</w:t>
      </w:r>
      <w:r>
        <w:rPr>
          <w:szCs w:val="22"/>
        </w:rPr>
        <w:t xml:space="preserve"> the examiner </w:t>
      </w:r>
      <w:r w:rsidR="006B26A4">
        <w:rPr>
          <w:szCs w:val="22"/>
        </w:rPr>
        <w:t xml:space="preserve">specifies </w:t>
      </w:r>
      <w:r>
        <w:rPr>
          <w:szCs w:val="22"/>
        </w:rPr>
        <w:t xml:space="preserve">so that the </w:t>
      </w:r>
      <w:r w:rsidR="006B26A4">
        <w:rPr>
          <w:szCs w:val="22"/>
        </w:rPr>
        <w:t>Charging</w:t>
      </w:r>
      <w:r>
        <w:rPr>
          <w:szCs w:val="22"/>
        </w:rPr>
        <w:t xml:space="preserve"> </w:t>
      </w:r>
      <w:r w:rsidR="006B26A4">
        <w:rPr>
          <w:szCs w:val="22"/>
        </w:rPr>
        <w:t>Schedule</w:t>
      </w:r>
      <w:r>
        <w:rPr>
          <w:szCs w:val="22"/>
        </w:rPr>
        <w:t xml:space="preserve"> may be </w:t>
      </w:r>
      <w:r w:rsidR="006B26A4">
        <w:rPr>
          <w:szCs w:val="22"/>
        </w:rPr>
        <w:t>approved</w:t>
      </w:r>
      <w:r>
        <w:rPr>
          <w:szCs w:val="22"/>
        </w:rPr>
        <w:t xml:space="preserve">.  </w:t>
      </w:r>
      <w:r w:rsidR="009E0ED1">
        <w:rPr>
          <w:b/>
        </w:rPr>
        <w:br w:type="page"/>
      </w:r>
    </w:p>
    <w:p w:rsidR="00530931" w:rsidRPr="00636D6B" w:rsidRDefault="00530931" w:rsidP="00530931">
      <w:pPr>
        <w:spacing w:after="240"/>
        <w:jc w:val="left"/>
        <w:rPr>
          <w:rFonts w:eastAsia="MS Mincho"/>
          <w:b/>
        </w:rPr>
      </w:pPr>
      <w:r w:rsidRPr="00636D6B">
        <w:rPr>
          <w:rFonts w:eastAsia="MS Mincho"/>
          <w:b/>
        </w:rPr>
        <w:lastRenderedPageBreak/>
        <w:t>Appendix A</w:t>
      </w:r>
    </w:p>
    <w:p w:rsidR="009E0ED1" w:rsidRPr="009E0ED1" w:rsidRDefault="009E0ED1" w:rsidP="009E0ED1">
      <w:pPr>
        <w:pStyle w:val="DPDReportNumberedParaIntro"/>
        <w:numPr>
          <w:ilvl w:val="0"/>
          <w:numId w:val="0"/>
        </w:numPr>
        <w:rPr>
          <w:b/>
          <w:szCs w:val="22"/>
        </w:rPr>
      </w:pPr>
      <w:r w:rsidRPr="009E0ED1">
        <w:rPr>
          <w:b/>
          <w:szCs w:val="22"/>
        </w:rPr>
        <w:t>Modifications specified by the examiner so that the Charging Schedule may be approved</w:t>
      </w:r>
    </w:p>
    <w:p w:rsidR="009E0ED1" w:rsidRPr="00C17BA3" w:rsidRDefault="009E0ED1" w:rsidP="009E0ED1">
      <w:pPr>
        <w:pStyle w:val="DPDReportNumberedParaIntro"/>
        <w:numPr>
          <w:ilvl w:val="0"/>
          <w:numId w:val="0"/>
        </w:numPr>
        <w:rPr>
          <w:i/>
          <w:szCs w:val="22"/>
        </w:rPr>
      </w:pPr>
      <w:r w:rsidRPr="00C17BA3">
        <w:rPr>
          <w:i/>
          <w:szCs w:val="22"/>
        </w:rPr>
        <w:t>These modifications apply to the Draft Charging Schedule (CIL1) as modified by the Statement of Modifications (</w:t>
      </w:r>
      <w:r w:rsidR="0001727F">
        <w:rPr>
          <w:i/>
          <w:szCs w:val="22"/>
        </w:rPr>
        <w:t>May 2017</w:t>
      </w:r>
      <w:r>
        <w:rPr>
          <w:i/>
          <w:szCs w:val="22"/>
        </w:rPr>
        <w:t>).</w:t>
      </w:r>
    </w:p>
    <w:p w:rsidR="00530931" w:rsidRPr="009E0ED1" w:rsidRDefault="009E0ED1" w:rsidP="00565395">
      <w:pPr>
        <w:pStyle w:val="DPDReportNumberedParaIntro"/>
        <w:numPr>
          <w:ilvl w:val="0"/>
          <w:numId w:val="0"/>
        </w:numPr>
        <w:rPr>
          <w:b/>
        </w:rPr>
      </w:pPr>
      <w:r w:rsidRPr="009E0ED1">
        <w:rPr>
          <w:b/>
        </w:rPr>
        <w:t xml:space="preserve">Modification </w:t>
      </w:r>
      <w:r w:rsidR="002475F0">
        <w:rPr>
          <w:b/>
        </w:rPr>
        <w:t>EM</w:t>
      </w:r>
      <w:r w:rsidRPr="009E0ED1">
        <w:rPr>
          <w:b/>
        </w:rPr>
        <w:t>1</w:t>
      </w:r>
    </w:p>
    <w:p w:rsidR="009E0ED1" w:rsidRDefault="009E0ED1" w:rsidP="00565395">
      <w:pPr>
        <w:pStyle w:val="DPDReportNumberedParaIntro"/>
        <w:numPr>
          <w:ilvl w:val="0"/>
          <w:numId w:val="0"/>
        </w:numPr>
      </w:pPr>
      <w:r>
        <w:t>Delete</w:t>
      </w:r>
      <w:r w:rsidR="00805942">
        <w:t xml:space="preserve"> table titled</w:t>
      </w:r>
      <w:r>
        <w:t xml:space="preserve"> </w:t>
      </w:r>
      <w:r w:rsidR="00805942">
        <w:t>‘Type of Development: Retail’ and replace with the following:</w:t>
      </w:r>
    </w:p>
    <w:tbl>
      <w:tblPr>
        <w:tblStyle w:val="TableGrid"/>
        <w:tblW w:w="0" w:type="auto"/>
        <w:tblLook w:val="04A0" w:firstRow="1" w:lastRow="0" w:firstColumn="1" w:lastColumn="0" w:noHBand="0" w:noVBand="1"/>
      </w:tblPr>
      <w:tblGrid>
        <w:gridCol w:w="6846"/>
        <w:gridCol w:w="2674"/>
      </w:tblGrid>
      <w:tr w:rsidR="00D72B87" w:rsidTr="002002AC">
        <w:tc>
          <w:tcPr>
            <w:tcW w:w="9606" w:type="dxa"/>
            <w:gridSpan w:val="2"/>
            <w:shd w:val="clear" w:color="auto" w:fill="548DD4" w:themeFill="text2" w:themeFillTint="99"/>
          </w:tcPr>
          <w:p w:rsidR="00D72B87" w:rsidRDefault="00D72B87" w:rsidP="002002AC">
            <w:pPr>
              <w:jc w:val="center"/>
              <w:rPr>
                <w:b/>
              </w:rPr>
            </w:pPr>
          </w:p>
          <w:p w:rsidR="00D72B87" w:rsidRDefault="00D72B87" w:rsidP="002002AC">
            <w:pPr>
              <w:jc w:val="center"/>
              <w:rPr>
                <w:b/>
              </w:rPr>
            </w:pPr>
            <w:r>
              <w:rPr>
                <w:b/>
              </w:rPr>
              <w:t>Type of Development: Retail</w:t>
            </w:r>
          </w:p>
          <w:p w:rsidR="00D72B87" w:rsidRPr="0095101F" w:rsidRDefault="00D72B87" w:rsidP="002002AC">
            <w:pPr>
              <w:jc w:val="center"/>
              <w:rPr>
                <w:b/>
              </w:rPr>
            </w:pPr>
          </w:p>
        </w:tc>
      </w:tr>
      <w:tr w:rsidR="00D72B87" w:rsidTr="002002AC">
        <w:tc>
          <w:tcPr>
            <w:tcW w:w="6912" w:type="dxa"/>
          </w:tcPr>
          <w:p w:rsidR="00D72B87" w:rsidRPr="0095101F" w:rsidRDefault="00D72B87" w:rsidP="002002AC">
            <w:pPr>
              <w:jc w:val="center"/>
              <w:rPr>
                <w:b/>
              </w:rPr>
            </w:pPr>
            <w:r w:rsidRPr="0095101F">
              <w:rPr>
                <w:b/>
              </w:rPr>
              <w:t xml:space="preserve">Retail </w:t>
            </w:r>
            <w:r>
              <w:rPr>
                <w:b/>
              </w:rPr>
              <w:t>Floorspace</w:t>
            </w:r>
          </w:p>
        </w:tc>
        <w:tc>
          <w:tcPr>
            <w:tcW w:w="2694" w:type="dxa"/>
          </w:tcPr>
          <w:p w:rsidR="00D72B87" w:rsidRPr="0095101F" w:rsidRDefault="00D72B87" w:rsidP="002002AC">
            <w:pPr>
              <w:jc w:val="center"/>
              <w:rPr>
                <w:b/>
              </w:rPr>
            </w:pPr>
            <w:r w:rsidRPr="0095101F">
              <w:rPr>
                <w:b/>
              </w:rPr>
              <w:t>Charge per square metre</w:t>
            </w:r>
          </w:p>
        </w:tc>
      </w:tr>
      <w:tr w:rsidR="00D72B87" w:rsidTr="002002AC">
        <w:tc>
          <w:tcPr>
            <w:tcW w:w="6912" w:type="dxa"/>
          </w:tcPr>
          <w:p w:rsidR="00D72B87" w:rsidRDefault="00D72B87" w:rsidP="00D72B87">
            <w:r>
              <w:t xml:space="preserve">Retail development up to 2500 square metres floorspace  within Leamington Prime Retail Zone </w:t>
            </w:r>
          </w:p>
        </w:tc>
        <w:tc>
          <w:tcPr>
            <w:tcW w:w="2694" w:type="dxa"/>
          </w:tcPr>
          <w:p w:rsidR="00D72B87" w:rsidRDefault="00D72B87" w:rsidP="002002AC">
            <w:r>
              <w:t>£65</w:t>
            </w:r>
          </w:p>
        </w:tc>
      </w:tr>
      <w:tr w:rsidR="00D72B87" w:rsidTr="002002AC">
        <w:tc>
          <w:tcPr>
            <w:tcW w:w="6912" w:type="dxa"/>
          </w:tcPr>
          <w:p w:rsidR="00D72B87" w:rsidRDefault="00D72B87" w:rsidP="002002AC">
            <w:r>
              <w:t>Retail development up to 2500 square metres floorspace  outside Leamington Prime Retail Zone</w:t>
            </w:r>
          </w:p>
        </w:tc>
        <w:tc>
          <w:tcPr>
            <w:tcW w:w="2694" w:type="dxa"/>
          </w:tcPr>
          <w:p w:rsidR="00D72B87" w:rsidRDefault="00D72B87" w:rsidP="002002AC">
            <w:r>
              <w:t>Nil</w:t>
            </w:r>
          </w:p>
        </w:tc>
      </w:tr>
      <w:tr w:rsidR="00D72B87" w:rsidTr="002002AC">
        <w:tc>
          <w:tcPr>
            <w:tcW w:w="6912" w:type="dxa"/>
          </w:tcPr>
          <w:p w:rsidR="00D72B87" w:rsidRDefault="00D72B87" w:rsidP="002002AC">
            <w:r>
              <w:t>Retail Development 2500 square metres floorspace or over - whole District</w:t>
            </w:r>
          </w:p>
        </w:tc>
        <w:tc>
          <w:tcPr>
            <w:tcW w:w="2694" w:type="dxa"/>
          </w:tcPr>
          <w:p w:rsidR="00D72B87" w:rsidRDefault="00D72B87" w:rsidP="002002AC">
            <w:r>
              <w:t>£105</w:t>
            </w:r>
          </w:p>
        </w:tc>
      </w:tr>
    </w:tbl>
    <w:p w:rsidR="00A33956" w:rsidRDefault="00A33956" w:rsidP="00565395">
      <w:pPr>
        <w:pStyle w:val="DPDReportNumberedParaIntro"/>
        <w:numPr>
          <w:ilvl w:val="0"/>
          <w:numId w:val="0"/>
        </w:numPr>
        <w:rPr>
          <w:b/>
        </w:rPr>
      </w:pPr>
    </w:p>
    <w:p w:rsidR="00D72B87" w:rsidRPr="00D72B87" w:rsidRDefault="00D72B87" w:rsidP="00565395">
      <w:pPr>
        <w:pStyle w:val="DPDReportNumberedParaIntro"/>
        <w:numPr>
          <w:ilvl w:val="0"/>
          <w:numId w:val="0"/>
        </w:numPr>
        <w:rPr>
          <w:b/>
        </w:rPr>
      </w:pPr>
      <w:r w:rsidRPr="00D72B87">
        <w:rPr>
          <w:b/>
        </w:rPr>
        <w:t xml:space="preserve">Modification </w:t>
      </w:r>
      <w:r w:rsidR="002475F0">
        <w:rPr>
          <w:b/>
        </w:rPr>
        <w:t>EM</w:t>
      </w:r>
      <w:r w:rsidRPr="00D72B87">
        <w:rPr>
          <w:b/>
        </w:rPr>
        <w:t>2</w:t>
      </w:r>
    </w:p>
    <w:p w:rsidR="00D72B87" w:rsidRDefault="00D72B87" w:rsidP="00565395">
      <w:pPr>
        <w:pStyle w:val="DPDReportNumberedParaIntro"/>
        <w:numPr>
          <w:ilvl w:val="0"/>
          <w:numId w:val="0"/>
        </w:numPr>
      </w:pPr>
      <w:r>
        <w:t>Add zoning map showing the Leami</w:t>
      </w:r>
      <w:r w:rsidR="00A33956">
        <w:t>ngton Prime Retail Zone as defined</w:t>
      </w:r>
      <w:r>
        <w:t xml:space="preserve"> in document CIL23.</w:t>
      </w:r>
    </w:p>
    <w:p w:rsidR="00D72B87" w:rsidRPr="00D72B87" w:rsidRDefault="00D72B87" w:rsidP="00565395">
      <w:pPr>
        <w:pStyle w:val="DPDReportNumberedParaIntro"/>
        <w:numPr>
          <w:ilvl w:val="0"/>
          <w:numId w:val="0"/>
        </w:numPr>
        <w:rPr>
          <w:b/>
        </w:rPr>
      </w:pPr>
      <w:r w:rsidRPr="00D72B87">
        <w:rPr>
          <w:b/>
        </w:rPr>
        <w:t xml:space="preserve">Modification </w:t>
      </w:r>
      <w:r w:rsidR="002475F0">
        <w:rPr>
          <w:b/>
        </w:rPr>
        <w:t>EM</w:t>
      </w:r>
      <w:r w:rsidRPr="00D72B87">
        <w:rPr>
          <w:b/>
        </w:rPr>
        <w:t>3</w:t>
      </w:r>
    </w:p>
    <w:p w:rsidR="00D72B87" w:rsidRDefault="000612B0" w:rsidP="00565395">
      <w:pPr>
        <w:pStyle w:val="DPDReportNumberedParaIntro"/>
        <w:numPr>
          <w:ilvl w:val="0"/>
          <w:numId w:val="0"/>
        </w:numPr>
      </w:pPr>
      <w:r w:rsidRPr="000612B0">
        <w:t xml:space="preserve">Amend zoning map at Hampton Magna to </w:t>
      </w:r>
      <w:r w:rsidR="00FB554F">
        <w:t xml:space="preserve">include </w:t>
      </w:r>
      <w:r>
        <w:t>the “white area” shown on the version of the z</w:t>
      </w:r>
      <w:r w:rsidRPr="000612B0">
        <w:t xml:space="preserve">oning </w:t>
      </w:r>
      <w:r>
        <w:t>m</w:t>
      </w:r>
      <w:r w:rsidRPr="000612B0">
        <w:t>ap dated 6</w:t>
      </w:r>
      <w:r>
        <w:t> April 2017</w:t>
      </w:r>
      <w:r w:rsidRPr="000612B0">
        <w:t xml:space="preserve"> </w:t>
      </w:r>
      <w:r w:rsidR="003F0F9A">
        <w:t xml:space="preserve">and Local Plan housing allocation H51 </w:t>
      </w:r>
      <w:r w:rsidR="00857DA5">
        <w:t xml:space="preserve">within </w:t>
      </w:r>
      <w:r w:rsidRPr="000612B0">
        <w:t xml:space="preserve">Zone A </w:t>
      </w:r>
      <w:r w:rsidR="00857DA5">
        <w:t xml:space="preserve">rather than </w:t>
      </w:r>
      <w:r w:rsidRPr="000612B0">
        <w:t>Zone D.</w:t>
      </w:r>
    </w:p>
    <w:p w:rsidR="00D72B87" w:rsidRPr="00436EB6" w:rsidRDefault="00D72B87" w:rsidP="00565395">
      <w:pPr>
        <w:pStyle w:val="DPDReportNumberedParaIntro"/>
        <w:numPr>
          <w:ilvl w:val="0"/>
          <w:numId w:val="0"/>
        </w:numPr>
      </w:pPr>
    </w:p>
    <w:sectPr w:rsidR="00D72B87" w:rsidRPr="00436EB6" w:rsidSect="006837A6">
      <w:headerReference w:type="even" r:id="rId11"/>
      <w:headerReference w:type="default" r:id="rId12"/>
      <w:footerReference w:type="even" r:id="rId13"/>
      <w:footerReference w:type="default" r:id="rId14"/>
      <w:headerReference w:type="first" r:id="rId15"/>
      <w:footerReference w:type="first" r:id="rId16"/>
      <w:pgSz w:w="11906" w:h="16838" w:code="9"/>
      <w:pgMar w:top="1474" w:right="1077" w:bottom="1281" w:left="1525"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7E" w:rsidRDefault="003D167E">
      <w:r>
        <w:separator/>
      </w:r>
    </w:p>
    <w:p w:rsidR="003D167E" w:rsidRDefault="003D167E"/>
    <w:p w:rsidR="003D167E" w:rsidRDefault="003D167E" w:rsidP="00140A42"/>
    <w:p w:rsidR="003D167E" w:rsidRDefault="003D167E" w:rsidP="00140A42"/>
    <w:p w:rsidR="003D167E" w:rsidRDefault="003D167E" w:rsidP="00140A42"/>
    <w:p w:rsidR="003D167E" w:rsidRDefault="003D167E"/>
    <w:p w:rsidR="003D167E" w:rsidRDefault="003D167E"/>
  </w:endnote>
  <w:endnote w:type="continuationSeparator" w:id="0">
    <w:p w:rsidR="003D167E" w:rsidRDefault="003D167E">
      <w:r>
        <w:continuationSeparator/>
      </w:r>
    </w:p>
    <w:p w:rsidR="003D167E" w:rsidRDefault="003D167E"/>
    <w:p w:rsidR="003D167E" w:rsidRDefault="003D167E" w:rsidP="00140A42"/>
    <w:p w:rsidR="003D167E" w:rsidRDefault="003D167E" w:rsidP="00140A42"/>
    <w:p w:rsidR="003D167E" w:rsidRDefault="003D167E" w:rsidP="00140A42"/>
    <w:p w:rsidR="003D167E" w:rsidRDefault="003D167E"/>
    <w:p w:rsidR="003D167E" w:rsidRDefault="003D1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real-Regular">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AD" w:rsidRDefault="00A76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AC" w:rsidRDefault="002002AC" w:rsidP="00E44BC3">
    <w:pPr>
      <w:pStyle w:val="Footer"/>
      <w:jc w:val="center"/>
    </w:pPr>
    <w:r>
      <w:rPr>
        <w:rStyle w:val="PageNumber"/>
      </w:rPr>
      <w:fldChar w:fldCharType="begin"/>
    </w:r>
    <w:r>
      <w:rPr>
        <w:rStyle w:val="PageNumber"/>
      </w:rPr>
      <w:instrText xml:space="preserve"> PAGE </w:instrText>
    </w:r>
    <w:r>
      <w:rPr>
        <w:rStyle w:val="PageNumber"/>
      </w:rPr>
      <w:fldChar w:fldCharType="separate"/>
    </w:r>
    <w:r w:rsidR="00C37CA1">
      <w:rPr>
        <w:rStyle w:val="PageNumber"/>
        <w:noProof/>
      </w:rPr>
      <w:t>12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AC" w:rsidRDefault="002002AC"/>
  <w:p w:rsidR="002002AC" w:rsidRDefault="002002AC" w:rsidP="00E44BC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7E" w:rsidRDefault="003D167E">
      <w:r>
        <w:separator/>
      </w:r>
    </w:p>
  </w:footnote>
  <w:footnote w:type="continuationSeparator" w:id="0">
    <w:p w:rsidR="003D167E" w:rsidRDefault="003D167E">
      <w:r>
        <w:continuationSeparator/>
      </w:r>
    </w:p>
    <w:p w:rsidR="003D167E" w:rsidRDefault="003D167E"/>
    <w:p w:rsidR="003D167E" w:rsidRDefault="003D167E" w:rsidP="00140A42"/>
    <w:p w:rsidR="003D167E" w:rsidRDefault="003D167E" w:rsidP="00140A42"/>
    <w:p w:rsidR="003D167E" w:rsidRDefault="003D167E" w:rsidP="00140A42"/>
    <w:p w:rsidR="003D167E" w:rsidRDefault="003D167E"/>
    <w:p w:rsidR="003D167E" w:rsidRDefault="003D167E"/>
  </w:footnote>
  <w:footnote w:id="1">
    <w:p w:rsidR="00F268C5" w:rsidRDefault="00F268C5" w:rsidP="00F268C5">
      <w:pPr>
        <w:pStyle w:val="FootnoteText"/>
      </w:pPr>
      <w:r>
        <w:rPr>
          <w:rStyle w:val="FootnoteReference"/>
        </w:rPr>
        <w:footnoteRef/>
      </w:r>
      <w:r>
        <w:t xml:space="preserve"> Notably documents PC1 and PC1B.</w:t>
      </w:r>
    </w:p>
  </w:footnote>
  <w:footnote w:id="2">
    <w:p w:rsidR="002002AC" w:rsidRDefault="002002AC" w:rsidP="00DC7E2A">
      <w:pPr>
        <w:pStyle w:val="FootnoteText"/>
        <w:jc w:val="left"/>
      </w:pPr>
      <w:r>
        <w:rPr>
          <w:rStyle w:val="FootnoteReference"/>
        </w:rPr>
        <w:footnoteRef/>
      </w:r>
      <w:r>
        <w:t xml:space="preserve"> These are: commercial sites - £1.05m/ha; former community sites - £0.5m/ha; </w:t>
      </w:r>
      <w:proofErr w:type="gramStart"/>
      <w:r>
        <w:t>greenfield</w:t>
      </w:r>
      <w:proofErr w:type="gramEnd"/>
      <w:r>
        <w:t xml:space="preserve"> (high end of range) - £0.37/ha; greenfield (low end of range) - £0.25m/ha. </w:t>
      </w:r>
    </w:p>
  </w:footnote>
  <w:footnote w:id="3">
    <w:p w:rsidR="002002AC" w:rsidRDefault="002002AC" w:rsidP="00032ED2">
      <w:pPr>
        <w:pStyle w:val="FootnoteText"/>
        <w:jc w:val="left"/>
      </w:pPr>
      <w:r>
        <w:rPr>
          <w:rStyle w:val="FootnoteReference"/>
        </w:rPr>
        <w:footnoteRef/>
      </w:r>
      <w:r>
        <w:t xml:space="preserve"> Local Housing Delivery Group: </w:t>
      </w:r>
      <w:r w:rsidRPr="00BA2552">
        <w:rPr>
          <w:i/>
        </w:rPr>
        <w:t>Viability Testing for Local Plans: Advice for planning practitioners</w:t>
      </w:r>
      <w:r>
        <w:rPr>
          <w:i/>
        </w:rPr>
        <w:t xml:space="preserve"> </w:t>
      </w:r>
      <w:r>
        <w:t>(June 2012).</w:t>
      </w:r>
    </w:p>
  </w:footnote>
  <w:footnote w:id="4">
    <w:p w:rsidR="002002AC" w:rsidRDefault="002002AC">
      <w:pPr>
        <w:pStyle w:val="FootnoteText"/>
      </w:pPr>
      <w:r>
        <w:rPr>
          <w:rStyle w:val="FootnoteReference"/>
        </w:rPr>
        <w:footnoteRef/>
      </w:r>
      <w:r>
        <w:t xml:space="preserve"> Documents CIL21, CIL21a and CIL21b.</w:t>
      </w:r>
    </w:p>
  </w:footnote>
  <w:footnote w:id="5">
    <w:p w:rsidR="00D658F0" w:rsidRDefault="00D658F0">
      <w:pPr>
        <w:pStyle w:val="FootnoteText"/>
      </w:pPr>
      <w:r>
        <w:rPr>
          <w:rStyle w:val="FootnoteReference"/>
        </w:rPr>
        <w:footnoteRef/>
      </w:r>
      <w:r>
        <w:t xml:space="preserve"> </w:t>
      </w:r>
      <w:proofErr w:type="gramStart"/>
      <w:r>
        <w:t>Document CIL24c.</w:t>
      </w:r>
      <w:proofErr w:type="gramEnd"/>
    </w:p>
  </w:footnote>
  <w:footnote w:id="6">
    <w:p w:rsidR="00D658F0" w:rsidRDefault="00D658F0">
      <w:pPr>
        <w:pStyle w:val="FootnoteText"/>
      </w:pPr>
      <w:r>
        <w:rPr>
          <w:rStyle w:val="FootnoteReference"/>
        </w:rPr>
        <w:footnoteRef/>
      </w:r>
      <w:r>
        <w:t xml:space="preserve"> Documents CIL24, CIL24a-d.</w:t>
      </w:r>
    </w:p>
  </w:footnote>
  <w:footnote w:id="7">
    <w:p w:rsidR="00BF6D70" w:rsidRDefault="00BF6D70">
      <w:pPr>
        <w:pStyle w:val="FootnoteText"/>
      </w:pPr>
      <w:r>
        <w:rPr>
          <w:rStyle w:val="FootnoteReference"/>
        </w:rPr>
        <w:footnoteRef/>
      </w:r>
      <w:r>
        <w:t xml:space="preserve"> </w:t>
      </w:r>
      <w:proofErr w:type="gramStart"/>
      <w:r>
        <w:t>Document CIL24c, paragraph 10.</w:t>
      </w:r>
      <w:proofErr w:type="gramEnd"/>
    </w:p>
  </w:footnote>
  <w:footnote w:id="8">
    <w:p w:rsidR="002002AC" w:rsidRDefault="002002AC">
      <w:pPr>
        <w:pStyle w:val="FootnoteText"/>
      </w:pPr>
      <w:r>
        <w:rPr>
          <w:rStyle w:val="FootnoteReference"/>
        </w:rPr>
        <w:footnoteRef/>
      </w:r>
      <w:r>
        <w:t xml:space="preserve"> Documents CIL22, CIL22a and CIL22b.</w:t>
      </w:r>
    </w:p>
  </w:footnote>
  <w:footnote w:id="9">
    <w:p w:rsidR="002002AC" w:rsidRDefault="002002AC">
      <w:pPr>
        <w:pStyle w:val="FootnoteText"/>
      </w:pPr>
      <w:r>
        <w:rPr>
          <w:rStyle w:val="FootnoteReference"/>
        </w:rPr>
        <w:footnoteRef/>
      </w:r>
      <w:r w:rsidR="00112ACE">
        <w:t xml:space="preserve"> Document CIL22</w:t>
      </w:r>
      <w:r>
        <w:t>.</w:t>
      </w:r>
    </w:p>
  </w:footnote>
  <w:footnote w:id="10">
    <w:p w:rsidR="002002AC" w:rsidRDefault="002002AC">
      <w:pPr>
        <w:pStyle w:val="FootnoteText"/>
      </w:pPr>
      <w:r>
        <w:rPr>
          <w:rStyle w:val="FootnoteReference"/>
        </w:rPr>
        <w:footnoteRef/>
      </w:r>
      <w:r>
        <w:t xml:space="preserve"> </w:t>
      </w:r>
      <w:proofErr w:type="gramStart"/>
      <w:r>
        <w:t>Summarised in table 4.41.1 of the 2016 VS.</w:t>
      </w:r>
      <w:proofErr w:type="gramEnd"/>
    </w:p>
  </w:footnote>
  <w:footnote w:id="11">
    <w:p w:rsidR="001158CE" w:rsidRDefault="001158CE">
      <w:pPr>
        <w:pStyle w:val="FootnoteText"/>
      </w:pPr>
      <w:r>
        <w:rPr>
          <w:rStyle w:val="FootnoteReference"/>
        </w:rPr>
        <w:footnoteRef/>
      </w:r>
      <w:r>
        <w:t xml:space="preserve"> </w:t>
      </w:r>
      <w:proofErr w:type="gramStart"/>
      <w:r>
        <w:t>Documents CIL22 and CIL22b.</w:t>
      </w:r>
      <w:proofErr w:type="gramEnd"/>
    </w:p>
  </w:footnote>
  <w:footnote w:id="12">
    <w:p w:rsidR="001158CE" w:rsidRDefault="001158CE">
      <w:pPr>
        <w:pStyle w:val="FootnoteText"/>
      </w:pPr>
      <w:r>
        <w:rPr>
          <w:rStyle w:val="FootnoteReference"/>
        </w:rPr>
        <w:footnoteRef/>
      </w:r>
      <w:r>
        <w:t xml:space="preserve"> Table 6.7.9 of the 2016 VS – document CIL7.</w:t>
      </w:r>
    </w:p>
  </w:footnote>
  <w:footnote w:id="13">
    <w:p w:rsidR="0017153F" w:rsidRDefault="0017153F" w:rsidP="0017153F">
      <w:pPr>
        <w:pStyle w:val="FootnoteText"/>
        <w:jc w:val="left"/>
      </w:pPr>
      <w:r>
        <w:rPr>
          <w:rStyle w:val="FootnoteReference"/>
        </w:rPr>
        <w:footnoteRef/>
      </w:r>
      <w:r>
        <w:t xml:space="preserve"> </w:t>
      </w:r>
      <w:proofErr w:type="gramStart"/>
      <w:r>
        <w:t>The 2016 VS lists student housing under ‘commercial uses’.</w:t>
      </w:r>
      <w:proofErr w:type="gramEnd"/>
      <w:r>
        <w:t xml:space="preserve">  However I have grouped this use with my consideration of residential developments.</w:t>
      </w:r>
    </w:p>
  </w:footnote>
  <w:footnote w:id="14">
    <w:p w:rsidR="0017153F" w:rsidRDefault="0017153F" w:rsidP="0017153F">
      <w:pPr>
        <w:pStyle w:val="FootnoteText"/>
      </w:pPr>
      <w:r>
        <w:rPr>
          <w:rStyle w:val="FootnoteReference"/>
        </w:rPr>
        <w:footnoteRef/>
      </w:r>
      <w:r>
        <w:t xml:space="preserve"> National Planning Policy Framework, paragraph 26.</w:t>
      </w:r>
    </w:p>
  </w:footnote>
  <w:footnote w:id="15">
    <w:p w:rsidR="0017153F" w:rsidRDefault="0017153F" w:rsidP="0017153F">
      <w:pPr>
        <w:pStyle w:val="FootnoteText"/>
        <w:jc w:val="left"/>
      </w:pPr>
      <w:r>
        <w:rPr>
          <w:rStyle w:val="FootnoteReference"/>
        </w:rPr>
        <w:footnoteRef/>
      </w:r>
      <w:r>
        <w:t xml:space="preserve"> The Council has confirmed that the reference to ‘lowest’ current use value in paragraph 6.40 of the 2016 </w:t>
      </w:r>
      <w:r w:rsidR="00B83DD6">
        <w:t xml:space="preserve">VS </w:t>
      </w:r>
      <w:r>
        <w:t xml:space="preserve">represents an error.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AC" w:rsidRDefault="002002AC"/>
  <w:p w:rsidR="002002AC" w:rsidRDefault="002002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2AC" w:rsidRDefault="002002AC">
    <w:pPr>
      <w:pStyle w:val="Header"/>
    </w:pPr>
    <w:r w:rsidRPr="0055095D">
      <w:rPr>
        <w:color w:val="000000" w:themeColor="text1"/>
      </w:rPr>
      <w:t xml:space="preserve">Warwick </w:t>
    </w:r>
    <w:r>
      <w:t xml:space="preserve">District Council Draft CIL Charging Schedule, Examiner’s Report </w:t>
    </w:r>
    <w:r w:rsidR="00A763AD">
      <w:t>October 2</w:t>
    </w:r>
    <w:r>
      <w:t>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AD" w:rsidRDefault="00A76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87D"/>
    <w:multiLevelType w:val="multilevel"/>
    <w:tmpl w:val="D8D0527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2A7FE0"/>
    <w:multiLevelType w:val="hybridMultilevel"/>
    <w:tmpl w:val="2B62A85E"/>
    <w:lvl w:ilvl="0" w:tplc="48C41ACC">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7EE6F9D"/>
    <w:multiLevelType w:val="multilevel"/>
    <w:tmpl w:val="9342F500"/>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675FB"/>
    <w:multiLevelType w:val="multilevel"/>
    <w:tmpl w:val="8D6000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C33FF0"/>
    <w:multiLevelType w:val="hybridMultilevel"/>
    <w:tmpl w:val="21B0C9F8"/>
    <w:lvl w:ilvl="0" w:tplc="D668DDB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78239A"/>
    <w:multiLevelType w:val="hybridMultilevel"/>
    <w:tmpl w:val="FF60B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F1B34EA"/>
    <w:multiLevelType w:val="hybridMultilevel"/>
    <w:tmpl w:val="E98434BE"/>
    <w:lvl w:ilvl="0" w:tplc="08090001">
      <w:start w:val="1"/>
      <w:numFmt w:val="bullet"/>
      <w:lvlText w:val=""/>
      <w:lvlJc w:val="left"/>
      <w:pPr>
        <w:tabs>
          <w:tab w:val="num" w:pos="720"/>
        </w:tabs>
        <w:ind w:left="720" w:hanging="360"/>
      </w:pPr>
      <w:rPr>
        <w:rFonts w:ascii="Symbol" w:hAnsi="Symbol" w:hint="default"/>
      </w:rPr>
    </w:lvl>
    <w:lvl w:ilvl="1" w:tplc="0AEC586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080EE7"/>
    <w:multiLevelType w:val="multilevel"/>
    <w:tmpl w:val="20EA0E6E"/>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1D2D3A"/>
    <w:multiLevelType w:val="hybridMultilevel"/>
    <w:tmpl w:val="9EA485E4"/>
    <w:lvl w:ilvl="0" w:tplc="D7B2555A">
      <w:start w:val="1"/>
      <w:numFmt w:val="decimal"/>
      <w:lvlText w:val="%1"/>
      <w:lvlJc w:val="left"/>
      <w:pPr>
        <w:tabs>
          <w:tab w:val="num" w:pos="870"/>
        </w:tabs>
        <w:ind w:left="870" w:hanging="510"/>
      </w:pPr>
      <w:rPr>
        <w:rFonts w:hint="default"/>
      </w:rPr>
    </w:lvl>
    <w:lvl w:ilvl="1" w:tplc="B50AAF6A">
      <w:start w:val="1"/>
      <w:numFmt w:val="bullet"/>
      <w:lvlText w:val=""/>
      <w:lvlJc w:val="left"/>
      <w:pPr>
        <w:tabs>
          <w:tab w:val="num" w:pos="1630"/>
        </w:tabs>
        <w:ind w:left="1630" w:hanging="55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58B28A2"/>
    <w:multiLevelType w:val="multilevel"/>
    <w:tmpl w:val="9342F500"/>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610EA8"/>
    <w:multiLevelType w:val="hybridMultilevel"/>
    <w:tmpl w:val="DA188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6A54FEF"/>
    <w:multiLevelType w:val="multilevel"/>
    <w:tmpl w:val="B6045AFA"/>
    <w:lvl w:ilvl="0">
      <w:start w:val="1"/>
      <w:numFmt w:val="decimal"/>
      <w:lvlText w:val="%1."/>
      <w:lvlJc w:val="left"/>
      <w:pPr>
        <w:tabs>
          <w:tab w:val="num" w:pos="510"/>
        </w:tabs>
        <w:ind w:left="510" w:hanging="510"/>
      </w:pPr>
      <w:rPr>
        <w:rFonts w:hint="default"/>
        <w:color w:val="auto"/>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AA38A9"/>
    <w:multiLevelType w:val="hybridMultilevel"/>
    <w:tmpl w:val="B6045AFA"/>
    <w:lvl w:ilvl="0" w:tplc="99664E3A">
      <w:start w:val="1"/>
      <w:numFmt w:val="decimal"/>
      <w:lvlText w:val="%1."/>
      <w:lvlJc w:val="left"/>
      <w:pPr>
        <w:tabs>
          <w:tab w:val="num" w:pos="510"/>
        </w:tabs>
        <w:ind w:left="510" w:hanging="510"/>
      </w:pPr>
      <w:rPr>
        <w:rFonts w:hint="default"/>
        <w:color w:val="auto"/>
      </w:rPr>
    </w:lvl>
    <w:lvl w:ilvl="1" w:tplc="BB9E4366">
      <w:start w:val="1"/>
      <w:numFmt w:val="bullet"/>
      <w:lvlText w:val=""/>
      <w:lvlJc w:val="left"/>
      <w:pPr>
        <w:tabs>
          <w:tab w:val="num" w:pos="1534"/>
        </w:tabs>
        <w:ind w:left="1534" w:hanging="454"/>
      </w:pPr>
      <w:rPr>
        <w:rFonts w:ascii="Wingdings" w:hAnsi="Wingding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D3328BE"/>
    <w:multiLevelType w:val="multilevel"/>
    <w:tmpl w:val="9342F500"/>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1A7509"/>
    <w:multiLevelType w:val="hybridMultilevel"/>
    <w:tmpl w:val="61601C60"/>
    <w:lvl w:ilvl="0" w:tplc="031CA74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5955673"/>
    <w:multiLevelType w:val="hybridMultilevel"/>
    <w:tmpl w:val="9884AC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AD41CB3"/>
    <w:multiLevelType w:val="multilevel"/>
    <w:tmpl w:val="B6045AFA"/>
    <w:lvl w:ilvl="0">
      <w:start w:val="1"/>
      <w:numFmt w:val="decimal"/>
      <w:lvlText w:val="%1."/>
      <w:lvlJc w:val="left"/>
      <w:pPr>
        <w:tabs>
          <w:tab w:val="num" w:pos="510"/>
        </w:tabs>
        <w:ind w:left="510" w:hanging="510"/>
      </w:pPr>
      <w:rPr>
        <w:rFonts w:hint="default"/>
        <w:color w:val="auto"/>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7434F1"/>
    <w:multiLevelType w:val="hybridMultilevel"/>
    <w:tmpl w:val="9720276C"/>
    <w:lvl w:ilvl="0" w:tplc="30C8C1A6">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E89595F"/>
    <w:multiLevelType w:val="hybridMultilevel"/>
    <w:tmpl w:val="A47C90C4"/>
    <w:lvl w:ilvl="0" w:tplc="B50AAF6A">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5541F3"/>
    <w:multiLevelType w:val="hybridMultilevel"/>
    <w:tmpl w:val="6CA439FA"/>
    <w:lvl w:ilvl="0" w:tplc="08090001">
      <w:start w:val="1"/>
      <w:numFmt w:val="bullet"/>
      <w:lvlText w:val=""/>
      <w:lvlJc w:val="left"/>
      <w:pPr>
        <w:tabs>
          <w:tab w:val="num" w:pos="1305"/>
        </w:tabs>
        <w:ind w:left="1305" w:hanging="360"/>
      </w:pPr>
      <w:rPr>
        <w:rFonts w:ascii="Symbol" w:hAnsi="Symbol"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20">
    <w:nsid w:val="40D0242A"/>
    <w:multiLevelType w:val="multilevel"/>
    <w:tmpl w:val="8BD84694"/>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20D1E18"/>
    <w:multiLevelType w:val="multilevel"/>
    <w:tmpl w:val="3A3C85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737A94"/>
    <w:multiLevelType w:val="hybridMultilevel"/>
    <w:tmpl w:val="20EA0E6E"/>
    <w:lvl w:ilvl="0" w:tplc="66CAD45A">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4744766"/>
    <w:multiLevelType w:val="multilevel"/>
    <w:tmpl w:val="D8D0527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6112F5E"/>
    <w:multiLevelType w:val="hybridMultilevel"/>
    <w:tmpl w:val="C37AAF6A"/>
    <w:lvl w:ilvl="0" w:tplc="C19C19BC">
      <w:start w:val="1"/>
      <w:numFmt w:val="decimal"/>
      <w:pStyle w:val="DPDNumberedParagraph"/>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483F551E"/>
    <w:multiLevelType w:val="hybridMultilevel"/>
    <w:tmpl w:val="2C564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D557E8E"/>
    <w:multiLevelType w:val="multilevel"/>
    <w:tmpl w:val="D8D0527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09F3988"/>
    <w:multiLevelType w:val="multilevel"/>
    <w:tmpl w:val="6F7432DA"/>
    <w:lvl w:ilvl="0">
      <w:start w:val="1"/>
      <w:numFmt w:val="decimal"/>
      <w:pStyle w:val="Heading1"/>
      <w:lvlText w:val="%1."/>
      <w:lvlJc w:val="left"/>
      <w:pPr>
        <w:tabs>
          <w:tab w:val="num" w:pos="851"/>
        </w:tabs>
        <w:ind w:left="851" w:hanging="851"/>
      </w:pPr>
      <w:rPr>
        <w:rFonts w:hint="default"/>
      </w:rPr>
    </w:lvl>
    <w:lvl w:ilvl="1">
      <w:start w:val="1"/>
      <w:numFmt w:val="decimal"/>
      <w:pStyle w:val="Nnumber"/>
      <w:lvlText w:val="%1.%2"/>
      <w:lvlJc w:val="left"/>
      <w:pPr>
        <w:tabs>
          <w:tab w:val="num" w:pos="851"/>
        </w:tabs>
        <w:ind w:left="851" w:hanging="851"/>
      </w:pPr>
      <w:rPr>
        <w:rFonts w:hint="default"/>
      </w:rPr>
    </w:lvl>
    <w:lvl w:ilvl="2">
      <w:start w:val="1"/>
      <w:numFmt w:val="decimal"/>
      <w:lvlRestart w:val="1"/>
      <w:lvlText w:val="%1.%2.%3"/>
      <w:lvlJc w:val="left"/>
      <w:pPr>
        <w:tabs>
          <w:tab w:val="num" w:pos="851"/>
        </w:tabs>
        <w:ind w:left="851" w:hanging="851"/>
      </w:pPr>
      <w:rPr>
        <w:rFonts w:ascii="Verdana" w:hAnsi="Verdana" w:hint="default"/>
        <w:b w:val="0"/>
        <w:i w:val="0"/>
        <w:sz w:val="20"/>
        <w:szCs w:val="20"/>
      </w:rPr>
    </w:lvl>
    <w:lvl w:ilvl="3">
      <w:start w:val="1"/>
      <w:numFmt w:val="none"/>
      <w:lvlText w:val=""/>
      <w:lvlJc w:val="left"/>
      <w:pPr>
        <w:tabs>
          <w:tab w:val="num" w:pos="851"/>
        </w:tabs>
        <w:ind w:left="851" w:hanging="851"/>
      </w:pPr>
      <w:rPr>
        <w:rFonts w:hint="default"/>
      </w:rPr>
    </w:lvl>
    <w:lvl w:ilvl="4">
      <w:start w:val="1"/>
      <w:numFmt w:val="none"/>
      <w:lvlText w:val=""/>
      <w:lvlJc w:val="left"/>
      <w:pPr>
        <w:tabs>
          <w:tab w:val="num" w:pos="851"/>
        </w:tabs>
        <w:ind w:left="851" w:hanging="851"/>
      </w:pPr>
      <w:rPr>
        <w:rFonts w:hint="default"/>
      </w:rPr>
    </w:lvl>
    <w:lvl w:ilvl="5">
      <w:start w:val="1"/>
      <w:numFmt w:val="none"/>
      <w:lvlText w:val=""/>
      <w:lvlJc w:val="left"/>
      <w:pPr>
        <w:tabs>
          <w:tab w:val="num" w:pos="851"/>
        </w:tabs>
        <w:ind w:left="851" w:hanging="851"/>
      </w:pPr>
      <w:rPr>
        <w:rFonts w:hint="default"/>
      </w:rPr>
    </w:lvl>
    <w:lvl w:ilvl="6">
      <w:start w:val="1"/>
      <w:numFmt w:val="none"/>
      <w:lvlText w:val=""/>
      <w:lvlJc w:val="left"/>
      <w:pPr>
        <w:tabs>
          <w:tab w:val="num" w:pos="851"/>
        </w:tabs>
        <w:ind w:left="851" w:hanging="851"/>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28">
    <w:nsid w:val="528B600D"/>
    <w:multiLevelType w:val="hybridMultilevel"/>
    <w:tmpl w:val="4A9CA96E"/>
    <w:lvl w:ilvl="0" w:tplc="B6F67FBA">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8AA2901"/>
    <w:multiLevelType w:val="multilevel"/>
    <w:tmpl w:val="4A9CA9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926E43"/>
    <w:multiLevelType w:val="hybridMultilevel"/>
    <w:tmpl w:val="A292572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1">
    <w:nsid w:val="660758F1"/>
    <w:multiLevelType w:val="hybridMultilevel"/>
    <w:tmpl w:val="8BD84694"/>
    <w:lvl w:ilvl="0" w:tplc="04E2C6DC">
      <w:start w:val="1"/>
      <w:numFmt w:val="decimal"/>
      <w:pStyle w:val="DPDReportNumberedParaIntro"/>
      <w:lvlText w:val="%1."/>
      <w:lvlJc w:val="left"/>
      <w:pPr>
        <w:tabs>
          <w:tab w:val="num" w:pos="567"/>
        </w:tabs>
        <w:ind w:left="567" w:hanging="567"/>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9110588"/>
    <w:multiLevelType w:val="hybridMultilevel"/>
    <w:tmpl w:val="FE4895FC"/>
    <w:lvl w:ilvl="0" w:tplc="C9F2D476">
      <w:start w:val="1"/>
      <w:numFmt w:val="decimal"/>
      <w:lvlText w:val="%1"/>
      <w:lvlJc w:val="left"/>
      <w:pPr>
        <w:tabs>
          <w:tab w:val="num" w:pos="360"/>
        </w:tabs>
        <w:ind w:left="36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B0735DC"/>
    <w:multiLevelType w:val="multilevel"/>
    <w:tmpl w:val="70306B0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B27798A"/>
    <w:multiLevelType w:val="singleLevel"/>
    <w:tmpl w:val="2A74EF3E"/>
    <w:lvl w:ilvl="0">
      <w:start w:val="1"/>
      <w:numFmt w:val="bullet"/>
      <w:pStyle w:val="TBullet"/>
      <w:lvlText w:val=""/>
      <w:lvlJc w:val="left"/>
      <w:pPr>
        <w:tabs>
          <w:tab w:val="num" w:pos="360"/>
        </w:tabs>
        <w:ind w:left="360" w:hanging="360"/>
      </w:pPr>
      <w:rPr>
        <w:rFonts w:ascii="Symbol" w:hAnsi="Symbol" w:hint="default"/>
      </w:rPr>
    </w:lvl>
  </w:abstractNum>
  <w:abstractNum w:abstractNumId="35">
    <w:nsid w:val="6F3A5288"/>
    <w:multiLevelType w:val="multilevel"/>
    <w:tmpl w:val="734EDC7E"/>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32061A4"/>
    <w:multiLevelType w:val="multilevel"/>
    <w:tmpl w:val="190C56CE"/>
    <w:lvl w:ilvl="0">
      <w:start w:val="4"/>
      <w:numFmt w:val="decimal"/>
      <w:pStyle w:val="LPH1"/>
      <w:lvlText w:val="%1"/>
      <w:lvlJc w:val="left"/>
      <w:pPr>
        <w:ind w:left="680" w:hanging="680"/>
      </w:pPr>
      <w:rPr>
        <w:rFonts w:ascii="Montreal-Regular" w:hAnsi="Montreal-Regular" w:hint="default"/>
        <w:color w:val="84286B"/>
        <w:sz w:val="48"/>
      </w:rPr>
    </w:lvl>
    <w:lvl w:ilvl="1">
      <w:start w:val="1"/>
      <w:numFmt w:val="decimal"/>
      <w:pStyle w:val="LPH2"/>
      <w:lvlText w:val="%1.%2"/>
      <w:lvlJc w:val="left"/>
      <w:pPr>
        <w:ind w:left="1106" w:hanging="680"/>
      </w:pPr>
      <w:rPr>
        <w:rFonts w:hint="default"/>
        <w:b w:val="0"/>
        <w:i w:val="0"/>
      </w:rPr>
    </w:lvl>
    <w:lvl w:ilvl="2">
      <w:start w:val="1"/>
      <w:numFmt w:val="decimal"/>
      <w:pStyle w:val="LPH3"/>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pStyle w:val="LPH-Map"/>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9A5098C"/>
    <w:multiLevelType w:val="multilevel"/>
    <w:tmpl w:val="884E965A"/>
    <w:lvl w:ilvl="0">
      <w:start w:val="1"/>
      <w:numFmt w:val="lowerRoman"/>
      <w:lvlText w:val="%1."/>
      <w:lvlJc w:val="left"/>
      <w:pPr>
        <w:tabs>
          <w:tab w:val="num" w:pos="567"/>
        </w:tabs>
        <w:ind w:left="567" w:hanging="567"/>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EBE1DC5"/>
    <w:multiLevelType w:val="hybridMultilevel"/>
    <w:tmpl w:val="70306B06"/>
    <w:lvl w:ilvl="0" w:tplc="75B07196">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F1351ED"/>
    <w:multiLevelType w:val="multilevel"/>
    <w:tmpl w:val="01F2F62A"/>
    <w:lvl w:ilvl="0">
      <w:start w:val="1"/>
      <w:numFmt w:val="decimal"/>
      <w:lvlText w:val="%1."/>
      <w:lvlJc w:val="left"/>
      <w:pPr>
        <w:tabs>
          <w:tab w:val="num" w:pos="510"/>
        </w:tabs>
        <w:ind w:left="510" w:hanging="510"/>
      </w:pPr>
      <w:rPr>
        <w:rFonts w:hint="default"/>
      </w:rPr>
    </w:lvl>
    <w:lvl w:ilvl="1">
      <w:start w:val="1"/>
      <w:numFmt w:val="bullet"/>
      <w:lvlText w:val=""/>
      <w:lvlJc w:val="left"/>
      <w:pPr>
        <w:tabs>
          <w:tab w:val="num" w:pos="1534"/>
        </w:tabs>
        <w:ind w:left="1534" w:hanging="454"/>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27"/>
  </w:num>
  <w:num w:numId="3">
    <w:abstractNumId w:val="6"/>
  </w:num>
  <w:num w:numId="4">
    <w:abstractNumId w:val="32"/>
  </w:num>
  <w:num w:numId="5">
    <w:abstractNumId w:val="15"/>
  </w:num>
  <w:num w:numId="6">
    <w:abstractNumId w:val="31"/>
  </w:num>
  <w:num w:numId="7">
    <w:abstractNumId w:val="4"/>
  </w:num>
  <w:num w:numId="8">
    <w:abstractNumId w:val="21"/>
  </w:num>
  <w:num w:numId="9">
    <w:abstractNumId w:val="24"/>
  </w:num>
  <w:num w:numId="10">
    <w:abstractNumId w:val="14"/>
  </w:num>
  <w:num w:numId="11">
    <w:abstractNumId w:val="5"/>
  </w:num>
  <w:num w:numId="12">
    <w:abstractNumId w:val="37"/>
  </w:num>
  <w:num w:numId="13">
    <w:abstractNumId w:val="12"/>
  </w:num>
  <w:num w:numId="14">
    <w:abstractNumId w:val="38"/>
  </w:num>
  <w:num w:numId="15">
    <w:abstractNumId w:val="22"/>
  </w:num>
  <w:num w:numId="16">
    <w:abstractNumId w:val="28"/>
  </w:num>
  <w:num w:numId="17">
    <w:abstractNumId w:val="3"/>
  </w:num>
  <w:num w:numId="18">
    <w:abstractNumId w:val="33"/>
  </w:num>
  <w:num w:numId="19">
    <w:abstractNumId w:val="7"/>
  </w:num>
  <w:num w:numId="20">
    <w:abstractNumId w:val="20"/>
  </w:num>
  <w:num w:numId="21">
    <w:abstractNumId w:val="1"/>
  </w:num>
  <w:num w:numId="22">
    <w:abstractNumId w:val="29"/>
  </w:num>
  <w:num w:numId="23">
    <w:abstractNumId w:val="17"/>
  </w:num>
  <w:num w:numId="24">
    <w:abstractNumId w:val="0"/>
  </w:num>
  <w:num w:numId="25">
    <w:abstractNumId w:val="26"/>
  </w:num>
  <w:num w:numId="26">
    <w:abstractNumId w:val="23"/>
  </w:num>
  <w:num w:numId="27">
    <w:abstractNumId w:val="9"/>
  </w:num>
  <w:num w:numId="28">
    <w:abstractNumId w:val="2"/>
  </w:num>
  <w:num w:numId="29">
    <w:abstractNumId w:val="13"/>
  </w:num>
  <w:num w:numId="30">
    <w:abstractNumId w:val="35"/>
  </w:num>
  <w:num w:numId="31">
    <w:abstractNumId w:val="39"/>
  </w:num>
  <w:num w:numId="32">
    <w:abstractNumId w:val="31"/>
  </w:num>
  <w:num w:numId="33">
    <w:abstractNumId w:val="18"/>
  </w:num>
  <w:num w:numId="34">
    <w:abstractNumId w:val="8"/>
  </w:num>
  <w:num w:numId="35">
    <w:abstractNumId w:val="25"/>
  </w:num>
  <w:num w:numId="36">
    <w:abstractNumId w:val="19"/>
  </w:num>
  <w:num w:numId="37">
    <w:abstractNumId w:val="10"/>
  </w:num>
  <w:num w:numId="38">
    <w:abstractNumId w:val="16"/>
  </w:num>
  <w:num w:numId="39">
    <w:abstractNumId w:val="11"/>
  </w:num>
  <w:num w:numId="40">
    <w:abstractNumId w:val="3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D5"/>
    <w:rsid w:val="00000518"/>
    <w:rsid w:val="00003D5E"/>
    <w:rsid w:val="00005153"/>
    <w:rsid w:val="00006118"/>
    <w:rsid w:val="00006929"/>
    <w:rsid w:val="00007847"/>
    <w:rsid w:val="0001025B"/>
    <w:rsid w:val="0001168C"/>
    <w:rsid w:val="00012B1F"/>
    <w:rsid w:val="000135C4"/>
    <w:rsid w:val="00015F4A"/>
    <w:rsid w:val="00016BB7"/>
    <w:rsid w:val="0001727F"/>
    <w:rsid w:val="00021426"/>
    <w:rsid w:val="00021C29"/>
    <w:rsid w:val="0002390D"/>
    <w:rsid w:val="0002476E"/>
    <w:rsid w:val="000252F3"/>
    <w:rsid w:val="00025B2C"/>
    <w:rsid w:val="000277DB"/>
    <w:rsid w:val="00027BE0"/>
    <w:rsid w:val="00030944"/>
    <w:rsid w:val="000310AD"/>
    <w:rsid w:val="00031412"/>
    <w:rsid w:val="00031496"/>
    <w:rsid w:val="00031A40"/>
    <w:rsid w:val="00031D1A"/>
    <w:rsid w:val="00032ED2"/>
    <w:rsid w:val="000330CD"/>
    <w:rsid w:val="00034936"/>
    <w:rsid w:val="00034FB1"/>
    <w:rsid w:val="000362CE"/>
    <w:rsid w:val="000423BE"/>
    <w:rsid w:val="00042C77"/>
    <w:rsid w:val="00045857"/>
    <w:rsid w:val="000520AD"/>
    <w:rsid w:val="00052B04"/>
    <w:rsid w:val="00054CB8"/>
    <w:rsid w:val="000554D8"/>
    <w:rsid w:val="00057766"/>
    <w:rsid w:val="000612B0"/>
    <w:rsid w:val="00062401"/>
    <w:rsid w:val="00065BB0"/>
    <w:rsid w:val="000664F7"/>
    <w:rsid w:val="00067AA5"/>
    <w:rsid w:val="00067E86"/>
    <w:rsid w:val="00073AE9"/>
    <w:rsid w:val="000767D0"/>
    <w:rsid w:val="000809EC"/>
    <w:rsid w:val="00084320"/>
    <w:rsid w:val="00084AC4"/>
    <w:rsid w:val="000850F5"/>
    <w:rsid w:val="00086E3E"/>
    <w:rsid w:val="00087949"/>
    <w:rsid w:val="0009079C"/>
    <w:rsid w:val="00090D69"/>
    <w:rsid w:val="000919F4"/>
    <w:rsid w:val="00093A2A"/>
    <w:rsid w:val="000940FD"/>
    <w:rsid w:val="00094E3D"/>
    <w:rsid w:val="00095018"/>
    <w:rsid w:val="000958EF"/>
    <w:rsid w:val="00096E30"/>
    <w:rsid w:val="00097F6D"/>
    <w:rsid w:val="000A14AE"/>
    <w:rsid w:val="000A251E"/>
    <w:rsid w:val="000A383D"/>
    <w:rsid w:val="000A3AFF"/>
    <w:rsid w:val="000A5DB7"/>
    <w:rsid w:val="000A640C"/>
    <w:rsid w:val="000B01C5"/>
    <w:rsid w:val="000B0974"/>
    <w:rsid w:val="000B23F8"/>
    <w:rsid w:val="000B6CC8"/>
    <w:rsid w:val="000B7C44"/>
    <w:rsid w:val="000B7EE6"/>
    <w:rsid w:val="000C0EB7"/>
    <w:rsid w:val="000C114E"/>
    <w:rsid w:val="000C1F09"/>
    <w:rsid w:val="000C628F"/>
    <w:rsid w:val="000C6B3B"/>
    <w:rsid w:val="000C6F95"/>
    <w:rsid w:val="000D4DE3"/>
    <w:rsid w:val="000D6967"/>
    <w:rsid w:val="000E003E"/>
    <w:rsid w:val="000E0DF8"/>
    <w:rsid w:val="000E2E3C"/>
    <w:rsid w:val="000E31AC"/>
    <w:rsid w:val="000E47B6"/>
    <w:rsid w:val="000E5E1F"/>
    <w:rsid w:val="000E6AF2"/>
    <w:rsid w:val="000E6D59"/>
    <w:rsid w:val="000E72D7"/>
    <w:rsid w:val="000E7E77"/>
    <w:rsid w:val="000F01D2"/>
    <w:rsid w:val="000F1976"/>
    <w:rsid w:val="000F1B94"/>
    <w:rsid w:val="000F2387"/>
    <w:rsid w:val="000F2E88"/>
    <w:rsid w:val="000F305B"/>
    <w:rsid w:val="000F3475"/>
    <w:rsid w:val="000F413E"/>
    <w:rsid w:val="000F4394"/>
    <w:rsid w:val="000F53B6"/>
    <w:rsid w:val="000F669E"/>
    <w:rsid w:val="00100097"/>
    <w:rsid w:val="001034EA"/>
    <w:rsid w:val="001040F2"/>
    <w:rsid w:val="001042CC"/>
    <w:rsid w:val="00107AFE"/>
    <w:rsid w:val="001111DE"/>
    <w:rsid w:val="001114F2"/>
    <w:rsid w:val="00112ACE"/>
    <w:rsid w:val="00112FB2"/>
    <w:rsid w:val="00114543"/>
    <w:rsid w:val="00114A97"/>
    <w:rsid w:val="0011536B"/>
    <w:rsid w:val="001158CE"/>
    <w:rsid w:val="00120C66"/>
    <w:rsid w:val="00122502"/>
    <w:rsid w:val="0012659F"/>
    <w:rsid w:val="00130A10"/>
    <w:rsid w:val="00130DA8"/>
    <w:rsid w:val="0013187A"/>
    <w:rsid w:val="00132712"/>
    <w:rsid w:val="00134146"/>
    <w:rsid w:val="001341ED"/>
    <w:rsid w:val="00137FF5"/>
    <w:rsid w:val="00140A42"/>
    <w:rsid w:val="00140B78"/>
    <w:rsid w:val="001418C3"/>
    <w:rsid w:val="001427AA"/>
    <w:rsid w:val="001453B0"/>
    <w:rsid w:val="00146BCC"/>
    <w:rsid w:val="0015012C"/>
    <w:rsid w:val="00154C94"/>
    <w:rsid w:val="001553CA"/>
    <w:rsid w:val="001561C5"/>
    <w:rsid w:val="001562DA"/>
    <w:rsid w:val="00161BCC"/>
    <w:rsid w:val="00164628"/>
    <w:rsid w:val="00167EBD"/>
    <w:rsid w:val="00167F95"/>
    <w:rsid w:val="0017153F"/>
    <w:rsid w:val="00173D9D"/>
    <w:rsid w:val="001759B9"/>
    <w:rsid w:val="00176BE5"/>
    <w:rsid w:val="00185012"/>
    <w:rsid w:val="00185080"/>
    <w:rsid w:val="001866A7"/>
    <w:rsid w:val="00186F00"/>
    <w:rsid w:val="00187352"/>
    <w:rsid w:val="00190029"/>
    <w:rsid w:val="00190C49"/>
    <w:rsid w:val="00191A3A"/>
    <w:rsid w:val="00196198"/>
    <w:rsid w:val="00197187"/>
    <w:rsid w:val="001A48FD"/>
    <w:rsid w:val="001A4D10"/>
    <w:rsid w:val="001B128F"/>
    <w:rsid w:val="001B1F26"/>
    <w:rsid w:val="001B33A2"/>
    <w:rsid w:val="001B4AD6"/>
    <w:rsid w:val="001B4E7B"/>
    <w:rsid w:val="001B55B2"/>
    <w:rsid w:val="001B6288"/>
    <w:rsid w:val="001B62EC"/>
    <w:rsid w:val="001B6E57"/>
    <w:rsid w:val="001B79CA"/>
    <w:rsid w:val="001C0B08"/>
    <w:rsid w:val="001C196A"/>
    <w:rsid w:val="001C2C77"/>
    <w:rsid w:val="001C471B"/>
    <w:rsid w:val="001C4740"/>
    <w:rsid w:val="001C617F"/>
    <w:rsid w:val="001D0406"/>
    <w:rsid w:val="001D0CFF"/>
    <w:rsid w:val="001D1928"/>
    <w:rsid w:val="001D1E42"/>
    <w:rsid w:val="001D5666"/>
    <w:rsid w:val="001D69FF"/>
    <w:rsid w:val="001D79FF"/>
    <w:rsid w:val="001D7D39"/>
    <w:rsid w:val="001E3D38"/>
    <w:rsid w:val="001E4985"/>
    <w:rsid w:val="001E5EA0"/>
    <w:rsid w:val="001E6D9F"/>
    <w:rsid w:val="001E7510"/>
    <w:rsid w:val="001F24A4"/>
    <w:rsid w:val="001F3F3E"/>
    <w:rsid w:val="001F45A4"/>
    <w:rsid w:val="001F564B"/>
    <w:rsid w:val="001F5CEC"/>
    <w:rsid w:val="002002AC"/>
    <w:rsid w:val="0020228E"/>
    <w:rsid w:val="00204DBF"/>
    <w:rsid w:val="0020764B"/>
    <w:rsid w:val="00211411"/>
    <w:rsid w:val="00214CAE"/>
    <w:rsid w:val="00216023"/>
    <w:rsid w:val="002163C0"/>
    <w:rsid w:val="00217096"/>
    <w:rsid w:val="002170E8"/>
    <w:rsid w:val="00217470"/>
    <w:rsid w:val="00217E9E"/>
    <w:rsid w:val="002208C3"/>
    <w:rsid w:val="002217FC"/>
    <w:rsid w:val="00222C82"/>
    <w:rsid w:val="002238D7"/>
    <w:rsid w:val="00223935"/>
    <w:rsid w:val="00225479"/>
    <w:rsid w:val="0022797A"/>
    <w:rsid w:val="00231E6B"/>
    <w:rsid w:val="00232368"/>
    <w:rsid w:val="00234C22"/>
    <w:rsid w:val="00235735"/>
    <w:rsid w:val="0023632E"/>
    <w:rsid w:val="00237019"/>
    <w:rsid w:val="002406F9"/>
    <w:rsid w:val="00240BA4"/>
    <w:rsid w:val="00246188"/>
    <w:rsid w:val="00246829"/>
    <w:rsid w:val="002475F0"/>
    <w:rsid w:val="0025054F"/>
    <w:rsid w:val="0025313C"/>
    <w:rsid w:val="00254EAB"/>
    <w:rsid w:val="0025571C"/>
    <w:rsid w:val="0025575C"/>
    <w:rsid w:val="00255937"/>
    <w:rsid w:val="00261248"/>
    <w:rsid w:val="00263F58"/>
    <w:rsid w:val="00264221"/>
    <w:rsid w:val="002649CE"/>
    <w:rsid w:val="00264A69"/>
    <w:rsid w:val="00264EF8"/>
    <w:rsid w:val="002668B2"/>
    <w:rsid w:val="00267626"/>
    <w:rsid w:val="00271A61"/>
    <w:rsid w:val="00273185"/>
    <w:rsid w:val="00274258"/>
    <w:rsid w:val="0027648D"/>
    <w:rsid w:val="0028082C"/>
    <w:rsid w:val="0028178F"/>
    <w:rsid w:val="002821E3"/>
    <w:rsid w:val="00285D1C"/>
    <w:rsid w:val="00287D3F"/>
    <w:rsid w:val="00290230"/>
    <w:rsid w:val="00290AB1"/>
    <w:rsid w:val="00290FF7"/>
    <w:rsid w:val="00291B82"/>
    <w:rsid w:val="00292DDF"/>
    <w:rsid w:val="00293264"/>
    <w:rsid w:val="00297998"/>
    <w:rsid w:val="00297AD0"/>
    <w:rsid w:val="002A00BD"/>
    <w:rsid w:val="002A1EF0"/>
    <w:rsid w:val="002A1F3B"/>
    <w:rsid w:val="002A2378"/>
    <w:rsid w:val="002A4B5D"/>
    <w:rsid w:val="002A4DB0"/>
    <w:rsid w:val="002A56AC"/>
    <w:rsid w:val="002A5762"/>
    <w:rsid w:val="002A6926"/>
    <w:rsid w:val="002B0F71"/>
    <w:rsid w:val="002B263D"/>
    <w:rsid w:val="002B40E0"/>
    <w:rsid w:val="002B5081"/>
    <w:rsid w:val="002B5531"/>
    <w:rsid w:val="002B6156"/>
    <w:rsid w:val="002C268F"/>
    <w:rsid w:val="002C3439"/>
    <w:rsid w:val="002C36DE"/>
    <w:rsid w:val="002C5046"/>
    <w:rsid w:val="002C554E"/>
    <w:rsid w:val="002C58BC"/>
    <w:rsid w:val="002D2D2E"/>
    <w:rsid w:val="002D314A"/>
    <w:rsid w:val="002D4468"/>
    <w:rsid w:val="002D4C07"/>
    <w:rsid w:val="002D4C10"/>
    <w:rsid w:val="002E0407"/>
    <w:rsid w:val="002E0D62"/>
    <w:rsid w:val="002E1152"/>
    <w:rsid w:val="002E2301"/>
    <w:rsid w:val="002E38F6"/>
    <w:rsid w:val="002E3910"/>
    <w:rsid w:val="002E589F"/>
    <w:rsid w:val="002E5EF7"/>
    <w:rsid w:val="002E6373"/>
    <w:rsid w:val="002F1DE5"/>
    <w:rsid w:val="002F565F"/>
    <w:rsid w:val="002F5A99"/>
    <w:rsid w:val="002F769E"/>
    <w:rsid w:val="00300245"/>
    <w:rsid w:val="00301165"/>
    <w:rsid w:val="003028D6"/>
    <w:rsid w:val="00303A00"/>
    <w:rsid w:val="0030506E"/>
    <w:rsid w:val="0030589C"/>
    <w:rsid w:val="00306288"/>
    <w:rsid w:val="00307902"/>
    <w:rsid w:val="00307B7B"/>
    <w:rsid w:val="003123E9"/>
    <w:rsid w:val="00313C01"/>
    <w:rsid w:val="0031447C"/>
    <w:rsid w:val="00316D94"/>
    <w:rsid w:val="0031716C"/>
    <w:rsid w:val="0032005C"/>
    <w:rsid w:val="00320825"/>
    <w:rsid w:val="00320CAD"/>
    <w:rsid w:val="00321DA6"/>
    <w:rsid w:val="003222FD"/>
    <w:rsid w:val="003224B7"/>
    <w:rsid w:val="00322911"/>
    <w:rsid w:val="0032314A"/>
    <w:rsid w:val="00325A06"/>
    <w:rsid w:val="00327A90"/>
    <w:rsid w:val="00330F58"/>
    <w:rsid w:val="00331017"/>
    <w:rsid w:val="00331D39"/>
    <w:rsid w:val="00331ED6"/>
    <w:rsid w:val="003321B9"/>
    <w:rsid w:val="003344B5"/>
    <w:rsid w:val="00334587"/>
    <w:rsid w:val="00334891"/>
    <w:rsid w:val="00334BA1"/>
    <w:rsid w:val="003401C1"/>
    <w:rsid w:val="00340C45"/>
    <w:rsid w:val="003432FD"/>
    <w:rsid w:val="00345D9C"/>
    <w:rsid w:val="00347FAD"/>
    <w:rsid w:val="00350D4C"/>
    <w:rsid w:val="0035262E"/>
    <w:rsid w:val="00353DE2"/>
    <w:rsid w:val="003542F3"/>
    <w:rsid w:val="00355F9A"/>
    <w:rsid w:val="003576D8"/>
    <w:rsid w:val="003624D8"/>
    <w:rsid w:val="00363F5B"/>
    <w:rsid w:val="00366078"/>
    <w:rsid w:val="00367055"/>
    <w:rsid w:val="003714F1"/>
    <w:rsid w:val="003750A4"/>
    <w:rsid w:val="003765EB"/>
    <w:rsid w:val="003779C9"/>
    <w:rsid w:val="00377A2A"/>
    <w:rsid w:val="00377E6E"/>
    <w:rsid w:val="003801BE"/>
    <w:rsid w:val="0038045A"/>
    <w:rsid w:val="00381FBB"/>
    <w:rsid w:val="0038316D"/>
    <w:rsid w:val="00384314"/>
    <w:rsid w:val="00384CB8"/>
    <w:rsid w:val="00386EBA"/>
    <w:rsid w:val="00387C1F"/>
    <w:rsid w:val="00390206"/>
    <w:rsid w:val="00390A98"/>
    <w:rsid w:val="00391B71"/>
    <w:rsid w:val="0039209B"/>
    <w:rsid w:val="00392382"/>
    <w:rsid w:val="00392410"/>
    <w:rsid w:val="00397844"/>
    <w:rsid w:val="003A162E"/>
    <w:rsid w:val="003A1918"/>
    <w:rsid w:val="003A29B3"/>
    <w:rsid w:val="003A2CA5"/>
    <w:rsid w:val="003A350B"/>
    <w:rsid w:val="003A7948"/>
    <w:rsid w:val="003A798C"/>
    <w:rsid w:val="003B10AA"/>
    <w:rsid w:val="003B4AE9"/>
    <w:rsid w:val="003B6218"/>
    <w:rsid w:val="003C016A"/>
    <w:rsid w:val="003C36D9"/>
    <w:rsid w:val="003C544E"/>
    <w:rsid w:val="003C566A"/>
    <w:rsid w:val="003C5A35"/>
    <w:rsid w:val="003D167E"/>
    <w:rsid w:val="003D1C46"/>
    <w:rsid w:val="003D2CE1"/>
    <w:rsid w:val="003D34FB"/>
    <w:rsid w:val="003D5599"/>
    <w:rsid w:val="003D56F3"/>
    <w:rsid w:val="003D680D"/>
    <w:rsid w:val="003E22B4"/>
    <w:rsid w:val="003E262A"/>
    <w:rsid w:val="003E317F"/>
    <w:rsid w:val="003E4272"/>
    <w:rsid w:val="003E579A"/>
    <w:rsid w:val="003E7A31"/>
    <w:rsid w:val="003F0C32"/>
    <w:rsid w:val="003F0F9A"/>
    <w:rsid w:val="003F43B4"/>
    <w:rsid w:val="003F5960"/>
    <w:rsid w:val="003F5C27"/>
    <w:rsid w:val="003F71DA"/>
    <w:rsid w:val="0040286B"/>
    <w:rsid w:val="004051EB"/>
    <w:rsid w:val="0041295B"/>
    <w:rsid w:val="00412A81"/>
    <w:rsid w:val="00412AF7"/>
    <w:rsid w:val="004130C5"/>
    <w:rsid w:val="00413974"/>
    <w:rsid w:val="00414C6E"/>
    <w:rsid w:val="00416C63"/>
    <w:rsid w:val="00416D48"/>
    <w:rsid w:val="00417755"/>
    <w:rsid w:val="00421648"/>
    <w:rsid w:val="004248DB"/>
    <w:rsid w:val="0043011B"/>
    <w:rsid w:val="004319DB"/>
    <w:rsid w:val="004326C6"/>
    <w:rsid w:val="004338A1"/>
    <w:rsid w:val="00433B5E"/>
    <w:rsid w:val="00433D0A"/>
    <w:rsid w:val="00434473"/>
    <w:rsid w:val="00435BA8"/>
    <w:rsid w:val="00435CB9"/>
    <w:rsid w:val="004363A1"/>
    <w:rsid w:val="0043673C"/>
    <w:rsid w:val="00436EB6"/>
    <w:rsid w:val="00440BA1"/>
    <w:rsid w:val="00441ED7"/>
    <w:rsid w:val="0044285F"/>
    <w:rsid w:val="00442C6F"/>
    <w:rsid w:val="00443156"/>
    <w:rsid w:val="00443721"/>
    <w:rsid w:val="00444432"/>
    <w:rsid w:val="00444BB4"/>
    <w:rsid w:val="00447051"/>
    <w:rsid w:val="00447A38"/>
    <w:rsid w:val="00450F85"/>
    <w:rsid w:val="0045463F"/>
    <w:rsid w:val="00455037"/>
    <w:rsid w:val="00455EB5"/>
    <w:rsid w:val="004576EE"/>
    <w:rsid w:val="004610DC"/>
    <w:rsid w:val="004627F4"/>
    <w:rsid w:val="004632DB"/>
    <w:rsid w:val="00466B1F"/>
    <w:rsid w:val="00466D44"/>
    <w:rsid w:val="00467445"/>
    <w:rsid w:val="00467FA8"/>
    <w:rsid w:val="00470A35"/>
    <w:rsid w:val="00470B92"/>
    <w:rsid w:val="00470E1A"/>
    <w:rsid w:val="00472227"/>
    <w:rsid w:val="004737BA"/>
    <w:rsid w:val="004744AD"/>
    <w:rsid w:val="00474600"/>
    <w:rsid w:val="00482568"/>
    <w:rsid w:val="00482CFB"/>
    <w:rsid w:val="00487FFA"/>
    <w:rsid w:val="00492389"/>
    <w:rsid w:val="00493F55"/>
    <w:rsid w:val="00494B23"/>
    <w:rsid w:val="00495192"/>
    <w:rsid w:val="004A255F"/>
    <w:rsid w:val="004A3121"/>
    <w:rsid w:val="004A48E4"/>
    <w:rsid w:val="004A568C"/>
    <w:rsid w:val="004A6044"/>
    <w:rsid w:val="004B03CF"/>
    <w:rsid w:val="004B11DA"/>
    <w:rsid w:val="004B137B"/>
    <w:rsid w:val="004B2602"/>
    <w:rsid w:val="004B3937"/>
    <w:rsid w:val="004B4174"/>
    <w:rsid w:val="004B43AC"/>
    <w:rsid w:val="004B460D"/>
    <w:rsid w:val="004B4DB9"/>
    <w:rsid w:val="004B7657"/>
    <w:rsid w:val="004B7CA5"/>
    <w:rsid w:val="004C16DF"/>
    <w:rsid w:val="004C1FCA"/>
    <w:rsid w:val="004C2008"/>
    <w:rsid w:val="004C3824"/>
    <w:rsid w:val="004C5AAD"/>
    <w:rsid w:val="004D2F3B"/>
    <w:rsid w:val="004D3407"/>
    <w:rsid w:val="004D6C3E"/>
    <w:rsid w:val="004D75C5"/>
    <w:rsid w:val="004E0820"/>
    <w:rsid w:val="004E4848"/>
    <w:rsid w:val="004E5909"/>
    <w:rsid w:val="004F0C6B"/>
    <w:rsid w:val="004F109B"/>
    <w:rsid w:val="004F6692"/>
    <w:rsid w:val="005002A6"/>
    <w:rsid w:val="005030FE"/>
    <w:rsid w:val="00503C04"/>
    <w:rsid w:val="00506123"/>
    <w:rsid w:val="005075E8"/>
    <w:rsid w:val="00510094"/>
    <w:rsid w:val="005104FB"/>
    <w:rsid w:val="00512C21"/>
    <w:rsid w:val="00513B72"/>
    <w:rsid w:val="00514D6F"/>
    <w:rsid w:val="00517198"/>
    <w:rsid w:val="00517954"/>
    <w:rsid w:val="00520437"/>
    <w:rsid w:val="0052154B"/>
    <w:rsid w:val="0052230F"/>
    <w:rsid w:val="00524882"/>
    <w:rsid w:val="00524884"/>
    <w:rsid w:val="0052526E"/>
    <w:rsid w:val="005263B0"/>
    <w:rsid w:val="00527CE0"/>
    <w:rsid w:val="00530931"/>
    <w:rsid w:val="00532241"/>
    <w:rsid w:val="00532CA8"/>
    <w:rsid w:val="0053436B"/>
    <w:rsid w:val="00537A05"/>
    <w:rsid w:val="00537B9F"/>
    <w:rsid w:val="00543993"/>
    <w:rsid w:val="00544909"/>
    <w:rsid w:val="00547CDE"/>
    <w:rsid w:val="0055095D"/>
    <w:rsid w:val="00550CA1"/>
    <w:rsid w:val="00551962"/>
    <w:rsid w:val="005527D2"/>
    <w:rsid w:val="00553278"/>
    <w:rsid w:val="00554085"/>
    <w:rsid w:val="0055588C"/>
    <w:rsid w:val="00562959"/>
    <w:rsid w:val="00564DD6"/>
    <w:rsid w:val="00565395"/>
    <w:rsid w:val="005676ED"/>
    <w:rsid w:val="00572219"/>
    <w:rsid w:val="005725F0"/>
    <w:rsid w:val="005748F7"/>
    <w:rsid w:val="00575B5F"/>
    <w:rsid w:val="00577299"/>
    <w:rsid w:val="005778A5"/>
    <w:rsid w:val="005807A3"/>
    <w:rsid w:val="0058386D"/>
    <w:rsid w:val="00595357"/>
    <w:rsid w:val="00595611"/>
    <w:rsid w:val="00595AA2"/>
    <w:rsid w:val="005A1061"/>
    <w:rsid w:val="005A106F"/>
    <w:rsid w:val="005A269F"/>
    <w:rsid w:val="005A2F04"/>
    <w:rsid w:val="005A5145"/>
    <w:rsid w:val="005A7CC0"/>
    <w:rsid w:val="005B0722"/>
    <w:rsid w:val="005B0ECF"/>
    <w:rsid w:val="005B1AC7"/>
    <w:rsid w:val="005B3DAC"/>
    <w:rsid w:val="005B481C"/>
    <w:rsid w:val="005B4DDF"/>
    <w:rsid w:val="005B5C92"/>
    <w:rsid w:val="005B6A64"/>
    <w:rsid w:val="005C0D45"/>
    <w:rsid w:val="005C2166"/>
    <w:rsid w:val="005C47CC"/>
    <w:rsid w:val="005C6C67"/>
    <w:rsid w:val="005D0742"/>
    <w:rsid w:val="005D2419"/>
    <w:rsid w:val="005D4F75"/>
    <w:rsid w:val="005D6A65"/>
    <w:rsid w:val="005E16F2"/>
    <w:rsid w:val="005E261D"/>
    <w:rsid w:val="005E311F"/>
    <w:rsid w:val="005E3741"/>
    <w:rsid w:val="005E526F"/>
    <w:rsid w:val="005E5BEF"/>
    <w:rsid w:val="005E755B"/>
    <w:rsid w:val="005F0E5C"/>
    <w:rsid w:val="00601110"/>
    <w:rsid w:val="0060247E"/>
    <w:rsid w:val="00602C0A"/>
    <w:rsid w:val="006052C4"/>
    <w:rsid w:val="00605F0D"/>
    <w:rsid w:val="00606D0E"/>
    <w:rsid w:val="00613246"/>
    <w:rsid w:val="006135CD"/>
    <w:rsid w:val="00617932"/>
    <w:rsid w:val="00625A00"/>
    <w:rsid w:val="00626010"/>
    <w:rsid w:val="00627001"/>
    <w:rsid w:val="00627611"/>
    <w:rsid w:val="00630438"/>
    <w:rsid w:val="00630A44"/>
    <w:rsid w:val="006311F5"/>
    <w:rsid w:val="0063280A"/>
    <w:rsid w:val="00635270"/>
    <w:rsid w:val="00635C1A"/>
    <w:rsid w:val="00636D8B"/>
    <w:rsid w:val="00641424"/>
    <w:rsid w:val="00644FA2"/>
    <w:rsid w:val="00645A19"/>
    <w:rsid w:val="00650A0B"/>
    <w:rsid w:val="00650B5E"/>
    <w:rsid w:val="00653B2A"/>
    <w:rsid w:val="00653BE7"/>
    <w:rsid w:val="00657F7C"/>
    <w:rsid w:val="00660588"/>
    <w:rsid w:val="00663247"/>
    <w:rsid w:val="00663F5A"/>
    <w:rsid w:val="00663FB9"/>
    <w:rsid w:val="00664DF5"/>
    <w:rsid w:val="00665F71"/>
    <w:rsid w:val="00666034"/>
    <w:rsid w:val="00667349"/>
    <w:rsid w:val="00670AB7"/>
    <w:rsid w:val="00673FCB"/>
    <w:rsid w:val="0067465E"/>
    <w:rsid w:val="00674B59"/>
    <w:rsid w:val="00675233"/>
    <w:rsid w:val="00675877"/>
    <w:rsid w:val="00675BCF"/>
    <w:rsid w:val="00675EAC"/>
    <w:rsid w:val="00675F01"/>
    <w:rsid w:val="00680DA9"/>
    <w:rsid w:val="00682F37"/>
    <w:rsid w:val="006837A6"/>
    <w:rsid w:val="006850E7"/>
    <w:rsid w:val="0068673A"/>
    <w:rsid w:val="00687C84"/>
    <w:rsid w:val="00692876"/>
    <w:rsid w:val="006928FC"/>
    <w:rsid w:val="00693920"/>
    <w:rsid w:val="00693F5D"/>
    <w:rsid w:val="006941EC"/>
    <w:rsid w:val="00696C7B"/>
    <w:rsid w:val="006A2302"/>
    <w:rsid w:val="006A3949"/>
    <w:rsid w:val="006A406A"/>
    <w:rsid w:val="006A57EE"/>
    <w:rsid w:val="006A594C"/>
    <w:rsid w:val="006A5F92"/>
    <w:rsid w:val="006A7DE0"/>
    <w:rsid w:val="006B22C8"/>
    <w:rsid w:val="006B249F"/>
    <w:rsid w:val="006B26A4"/>
    <w:rsid w:val="006B34BF"/>
    <w:rsid w:val="006B420C"/>
    <w:rsid w:val="006B61EB"/>
    <w:rsid w:val="006C04F8"/>
    <w:rsid w:val="006C05B4"/>
    <w:rsid w:val="006C0C45"/>
    <w:rsid w:val="006C1E37"/>
    <w:rsid w:val="006C2207"/>
    <w:rsid w:val="006C30F1"/>
    <w:rsid w:val="006C7AEB"/>
    <w:rsid w:val="006D1336"/>
    <w:rsid w:val="006D3BAE"/>
    <w:rsid w:val="006D4FFD"/>
    <w:rsid w:val="006D7740"/>
    <w:rsid w:val="006E12B2"/>
    <w:rsid w:val="006E3A74"/>
    <w:rsid w:val="006E6EC1"/>
    <w:rsid w:val="006E7AED"/>
    <w:rsid w:val="006F3F9C"/>
    <w:rsid w:val="006F6BEE"/>
    <w:rsid w:val="006F7B92"/>
    <w:rsid w:val="006F7C80"/>
    <w:rsid w:val="00701F38"/>
    <w:rsid w:val="00702741"/>
    <w:rsid w:val="0070341F"/>
    <w:rsid w:val="00703682"/>
    <w:rsid w:val="00704191"/>
    <w:rsid w:val="00704311"/>
    <w:rsid w:val="007077DE"/>
    <w:rsid w:val="00707A0D"/>
    <w:rsid w:val="007102A3"/>
    <w:rsid w:val="00711876"/>
    <w:rsid w:val="00712077"/>
    <w:rsid w:val="007131D7"/>
    <w:rsid w:val="00713EB9"/>
    <w:rsid w:val="00714077"/>
    <w:rsid w:val="007149FC"/>
    <w:rsid w:val="00715889"/>
    <w:rsid w:val="00715F95"/>
    <w:rsid w:val="007175A4"/>
    <w:rsid w:val="0072576A"/>
    <w:rsid w:val="00726216"/>
    <w:rsid w:val="00730D92"/>
    <w:rsid w:val="00733185"/>
    <w:rsid w:val="00735A95"/>
    <w:rsid w:val="007360DA"/>
    <w:rsid w:val="007365BE"/>
    <w:rsid w:val="00742D9B"/>
    <w:rsid w:val="0074674E"/>
    <w:rsid w:val="00747484"/>
    <w:rsid w:val="00750C65"/>
    <w:rsid w:val="00753FBB"/>
    <w:rsid w:val="00753FF8"/>
    <w:rsid w:val="007546C2"/>
    <w:rsid w:val="00754CC8"/>
    <w:rsid w:val="0075533F"/>
    <w:rsid w:val="007604D1"/>
    <w:rsid w:val="007606BD"/>
    <w:rsid w:val="00761084"/>
    <w:rsid w:val="00764883"/>
    <w:rsid w:val="007659B5"/>
    <w:rsid w:val="0076644F"/>
    <w:rsid w:val="00773527"/>
    <w:rsid w:val="0077458B"/>
    <w:rsid w:val="00776536"/>
    <w:rsid w:val="00780104"/>
    <w:rsid w:val="0078121B"/>
    <w:rsid w:val="00784314"/>
    <w:rsid w:val="0079222E"/>
    <w:rsid w:val="00792518"/>
    <w:rsid w:val="00795026"/>
    <w:rsid w:val="00795180"/>
    <w:rsid w:val="0079546E"/>
    <w:rsid w:val="007957C2"/>
    <w:rsid w:val="0079672D"/>
    <w:rsid w:val="00797120"/>
    <w:rsid w:val="007A2744"/>
    <w:rsid w:val="007A78C8"/>
    <w:rsid w:val="007A7DA2"/>
    <w:rsid w:val="007A7F42"/>
    <w:rsid w:val="007B0DB6"/>
    <w:rsid w:val="007B2051"/>
    <w:rsid w:val="007B2894"/>
    <w:rsid w:val="007B3A43"/>
    <w:rsid w:val="007B7762"/>
    <w:rsid w:val="007C01C5"/>
    <w:rsid w:val="007C2EEC"/>
    <w:rsid w:val="007C302C"/>
    <w:rsid w:val="007C3D41"/>
    <w:rsid w:val="007C53FE"/>
    <w:rsid w:val="007C5752"/>
    <w:rsid w:val="007D0100"/>
    <w:rsid w:val="007D1647"/>
    <w:rsid w:val="007D1E45"/>
    <w:rsid w:val="007D252E"/>
    <w:rsid w:val="007D28D6"/>
    <w:rsid w:val="007D2C29"/>
    <w:rsid w:val="007D2CAF"/>
    <w:rsid w:val="007D3629"/>
    <w:rsid w:val="007E04BF"/>
    <w:rsid w:val="007E131F"/>
    <w:rsid w:val="007E2007"/>
    <w:rsid w:val="007E3F84"/>
    <w:rsid w:val="007F151B"/>
    <w:rsid w:val="007F3B9A"/>
    <w:rsid w:val="007F6318"/>
    <w:rsid w:val="007F6C7C"/>
    <w:rsid w:val="007F7895"/>
    <w:rsid w:val="007F7969"/>
    <w:rsid w:val="0080240A"/>
    <w:rsid w:val="008030C0"/>
    <w:rsid w:val="008032F3"/>
    <w:rsid w:val="008033AB"/>
    <w:rsid w:val="008046EC"/>
    <w:rsid w:val="00805942"/>
    <w:rsid w:val="00805FBC"/>
    <w:rsid w:val="00807908"/>
    <w:rsid w:val="008102AE"/>
    <w:rsid w:val="00810A67"/>
    <w:rsid w:val="00810BF5"/>
    <w:rsid w:val="0081127B"/>
    <w:rsid w:val="008118C0"/>
    <w:rsid w:val="0081318C"/>
    <w:rsid w:val="00815E4C"/>
    <w:rsid w:val="008174D3"/>
    <w:rsid w:val="00820DE3"/>
    <w:rsid w:val="00823A37"/>
    <w:rsid w:val="008247EF"/>
    <w:rsid w:val="00825917"/>
    <w:rsid w:val="008262C2"/>
    <w:rsid w:val="0082700A"/>
    <w:rsid w:val="00831E5F"/>
    <w:rsid w:val="00836521"/>
    <w:rsid w:val="008374EC"/>
    <w:rsid w:val="008428FD"/>
    <w:rsid w:val="00846871"/>
    <w:rsid w:val="008470B3"/>
    <w:rsid w:val="00847D8A"/>
    <w:rsid w:val="00847DB9"/>
    <w:rsid w:val="00851CD7"/>
    <w:rsid w:val="00852C25"/>
    <w:rsid w:val="00853B41"/>
    <w:rsid w:val="00854309"/>
    <w:rsid w:val="0085510C"/>
    <w:rsid w:val="00855F84"/>
    <w:rsid w:val="00856AFA"/>
    <w:rsid w:val="00857DA5"/>
    <w:rsid w:val="008645C7"/>
    <w:rsid w:val="00866779"/>
    <w:rsid w:val="0087204D"/>
    <w:rsid w:val="00872CC4"/>
    <w:rsid w:val="00872FCC"/>
    <w:rsid w:val="00874791"/>
    <w:rsid w:val="00874EDD"/>
    <w:rsid w:val="00875031"/>
    <w:rsid w:val="008757EA"/>
    <w:rsid w:val="008767A9"/>
    <w:rsid w:val="00880A57"/>
    <w:rsid w:val="008816B2"/>
    <w:rsid w:val="0088171D"/>
    <w:rsid w:val="00881CEF"/>
    <w:rsid w:val="00883254"/>
    <w:rsid w:val="00885949"/>
    <w:rsid w:val="00886BA1"/>
    <w:rsid w:val="00887B3A"/>
    <w:rsid w:val="00890285"/>
    <w:rsid w:val="008961F6"/>
    <w:rsid w:val="00896ED8"/>
    <w:rsid w:val="008A1978"/>
    <w:rsid w:val="008A1C15"/>
    <w:rsid w:val="008A2764"/>
    <w:rsid w:val="008A3A37"/>
    <w:rsid w:val="008A52E1"/>
    <w:rsid w:val="008A740A"/>
    <w:rsid w:val="008B0A09"/>
    <w:rsid w:val="008B1D6A"/>
    <w:rsid w:val="008B408E"/>
    <w:rsid w:val="008B64B2"/>
    <w:rsid w:val="008C1243"/>
    <w:rsid w:val="008C24D0"/>
    <w:rsid w:val="008C32E9"/>
    <w:rsid w:val="008C4066"/>
    <w:rsid w:val="008C55F5"/>
    <w:rsid w:val="008C5763"/>
    <w:rsid w:val="008C5CB6"/>
    <w:rsid w:val="008C673C"/>
    <w:rsid w:val="008C6A2D"/>
    <w:rsid w:val="008D2033"/>
    <w:rsid w:val="008D487F"/>
    <w:rsid w:val="008D526B"/>
    <w:rsid w:val="008D5E8E"/>
    <w:rsid w:val="008D61D5"/>
    <w:rsid w:val="008D760C"/>
    <w:rsid w:val="008E113A"/>
    <w:rsid w:val="008E127D"/>
    <w:rsid w:val="008E1430"/>
    <w:rsid w:val="008E1D8A"/>
    <w:rsid w:val="008E3031"/>
    <w:rsid w:val="008E5264"/>
    <w:rsid w:val="008F402E"/>
    <w:rsid w:val="00900D2C"/>
    <w:rsid w:val="0090406D"/>
    <w:rsid w:val="0090530A"/>
    <w:rsid w:val="009054D5"/>
    <w:rsid w:val="00905914"/>
    <w:rsid w:val="00905D7A"/>
    <w:rsid w:val="00907DC4"/>
    <w:rsid w:val="00910FC3"/>
    <w:rsid w:val="0091137A"/>
    <w:rsid w:val="00912176"/>
    <w:rsid w:val="00913992"/>
    <w:rsid w:val="00913AFD"/>
    <w:rsid w:val="00915AF8"/>
    <w:rsid w:val="00921300"/>
    <w:rsid w:val="00921B55"/>
    <w:rsid w:val="00923CE9"/>
    <w:rsid w:val="00923CEE"/>
    <w:rsid w:val="00925DE9"/>
    <w:rsid w:val="0093143E"/>
    <w:rsid w:val="0093653E"/>
    <w:rsid w:val="00941685"/>
    <w:rsid w:val="00941CCB"/>
    <w:rsid w:val="009479DB"/>
    <w:rsid w:val="00947B56"/>
    <w:rsid w:val="009502AB"/>
    <w:rsid w:val="00950E3D"/>
    <w:rsid w:val="009533CD"/>
    <w:rsid w:val="009566F6"/>
    <w:rsid w:val="0095707F"/>
    <w:rsid w:val="00957231"/>
    <w:rsid w:val="009577DB"/>
    <w:rsid w:val="009608BD"/>
    <w:rsid w:val="009609AF"/>
    <w:rsid w:val="00961DE1"/>
    <w:rsid w:val="00961E8F"/>
    <w:rsid w:val="00963134"/>
    <w:rsid w:val="009675B5"/>
    <w:rsid w:val="00967D1A"/>
    <w:rsid w:val="0097116D"/>
    <w:rsid w:val="00972144"/>
    <w:rsid w:val="009729DE"/>
    <w:rsid w:val="009730EA"/>
    <w:rsid w:val="0097482B"/>
    <w:rsid w:val="00975AD7"/>
    <w:rsid w:val="00976541"/>
    <w:rsid w:val="00976D68"/>
    <w:rsid w:val="00977A5A"/>
    <w:rsid w:val="00982264"/>
    <w:rsid w:val="00982F58"/>
    <w:rsid w:val="00983450"/>
    <w:rsid w:val="00983AFF"/>
    <w:rsid w:val="009844E1"/>
    <w:rsid w:val="0098487F"/>
    <w:rsid w:val="00985292"/>
    <w:rsid w:val="00985963"/>
    <w:rsid w:val="00991175"/>
    <w:rsid w:val="00991BFF"/>
    <w:rsid w:val="0099223B"/>
    <w:rsid w:val="0099301B"/>
    <w:rsid w:val="009939F2"/>
    <w:rsid w:val="00994250"/>
    <w:rsid w:val="009943A1"/>
    <w:rsid w:val="00995A90"/>
    <w:rsid w:val="0099704C"/>
    <w:rsid w:val="00997220"/>
    <w:rsid w:val="009A040E"/>
    <w:rsid w:val="009A0623"/>
    <w:rsid w:val="009A2A2F"/>
    <w:rsid w:val="009A4112"/>
    <w:rsid w:val="009A46AA"/>
    <w:rsid w:val="009A4B5B"/>
    <w:rsid w:val="009A4C56"/>
    <w:rsid w:val="009A59AE"/>
    <w:rsid w:val="009A6484"/>
    <w:rsid w:val="009A6BC3"/>
    <w:rsid w:val="009A6E07"/>
    <w:rsid w:val="009B10F9"/>
    <w:rsid w:val="009B1FC9"/>
    <w:rsid w:val="009B2C42"/>
    <w:rsid w:val="009B3480"/>
    <w:rsid w:val="009B57E0"/>
    <w:rsid w:val="009B5CBA"/>
    <w:rsid w:val="009C1A72"/>
    <w:rsid w:val="009C2374"/>
    <w:rsid w:val="009C3992"/>
    <w:rsid w:val="009C3F0B"/>
    <w:rsid w:val="009C6D7A"/>
    <w:rsid w:val="009D54AC"/>
    <w:rsid w:val="009D5F69"/>
    <w:rsid w:val="009D5FE9"/>
    <w:rsid w:val="009D61CC"/>
    <w:rsid w:val="009D724B"/>
    <w:rsid w:val="009E0C58"/>
    <w:rsid w:val="009E0ED1"/>
    <w:rsid w:val="009E1B2D"/>
    <w:rsid w:val="009E1E7F"/>
    <w:rsid w:val="009E2415"/>
    <w:rsid w:val="009E2D9B"/>
    <w:rsid w:val="009E330E"/>
    <w:rsid w:val="009E3765"/>
    <w:rsid w:val="009E7330"/>
    <w:rsid w:val="009F0F3F"/>
    <w:rsid w:val="009F42F0"/>
    <w:rsid w:val="009F4C33"/>
    <w:rsid w:val="009F4C67"/>
    <w:rsid w:val="009F5221"/>
    <w:rsid w:val="009F57D5"/>
    <w:rsid w:val="009F586A"/>
    <w:rsid w:val="00A032DF"/>
    <w:rsid w:val="00A033A1"/>
    <w:rsid w:val="00A03F8D"/>
    <w:rsid w:val="00A05B3B"/>
    <w:rsid w:val="00A06ED1"/>
    <w:rsid w:val="00A14092"/>
    <w:rsid w:val="00A149E9"/>
    <w:rsid w:val="00A14C7D"/>
    <w:rsid w:val="00A163BB"/>
    <w:rsid w:val="00A22794"/>
    <w:rsid w:val="00A23418"/>
    <w:rsid w:val="00A26532"/>
    <w:rsid w:val="00A2683B"/>
    <w:rsid w:val="00A30E2F"/>
    <w:rsid w:val="00A33956"/>
    <w:rsid w:val="00A35BAB"/>
    <w:rsid w:val="00A401FB"/>
    <w:rsid w:val="00A40217"/>
    <w:rsid w:val="00A4412F"/>
    <w:rsid w:val="00A452BF"/>
    <w:rsid w:val="00A460D7"/>
    <w:rsid w:val="00A46522"/>
    <w:rsid w:val="00A46696"/>
    <w:rsid w:val="00A5096E"/>
    <w:rsid w:val="00A50B16"/>
    <w:rsid w:val="00A50E72"/>
    <w:rsid w:val="00A52247"/>
    <w:rsid w:val="00A532BF"/>
    <w:rsid w:val="00A53543"/>
    <w:rsid w:val="00A56522"/>
    <w:rsid w:val="00A56E57"/>
    <w:rsid w:val="00A61572"/>
    <w:rsid w:val="00A6593B"/>
    <w:rsid w:val="00A668F9"/>
    <w:rsid w:val="00A670E4"/>
    <w:rsid w:val="00A67950"/>
    <w:rsid w:val="00A7054C"/>
    <w:rsid w:val="00A70DF7"/>
    <w:rsid w:val="00A75E20"/>
    <w:rsid w:val="00A763AD"/>
    <w:rsid w:val="00A77156"/>
    <w:rsid w:val="00A778F5"/>
    <w:rsid w:val="00A77F4F"/>
    <w:rsid w:val="00A804BF"/>
    <w:rsid w:val="00A810F1"/>
    <w:rsid w:val="00A82511"/>
    <w:rsid w:val="00A83591"/>
    <w:rsid w:val="00A85466"/>
    <w:rsid w:val="00A87F8D"/>
    <w:rsid w:val="00A913DD"/>
    <w:rsid w:val="00A91625"/>
    <w:rsid w:val="00A92417"/>
    <w:rsid w:val="00A94EA0"/>
    <w:rsid w:val="00A97CA6"/>
    <w:rsid w:val="00AA0C32"/>
    <w:rsid w:val="00AA258E"/>
    <w:rsid w:val="00AA64AC"/>
    <w:rsid w:val="00AA669D"/>
    <w:rsid w:val="00AA7F36"/>
    <w:rsid w:val="00AB004E"/>
    <w:rsid w:val="00AB09A1"/>
    <w:rsid w:val="00AB1B28"/>
    <w:rsid w:val="00AB21B4"/>
    <w:rsid w:val="00AB24D6"/>
    <w:rsid w:val="00AB5BFF"/>
    <w:rsid w:val="00AC00E0"/>
    <w:rsid w:val="00AC2B65"/>
    <w:rsid w:val="00AC2C06"/>
    <w:rsid w:val="00AC3F32"/>
    <w:rsid w:val="00AC45BF"/>
    <w:rsid w:val="00AD057F"/>
    <w:rsid w:val="00AD1CF1"/>
    <w:rsid w:val="00AD1E43"/>
    <w:rsid w:val="00AD2ADD"/>
    <w:rsid w:val="00AD5CB9"/>
    <w:rsid w:val="00AD768B"/>
    <w:rsid w:val="00AE2425"/>
    <w:rsid w:val="00AE38A0"/>
    <w:rsid w:val="00AE3AA4"/>
    <w:rsid w:val="00AE7DBE"/>
    <w:rsid w:val="00AF0AD2"/>
    <w:rsid w:val="00AF14E8"/>
    <w:rsid w:val="00AF289C"/>
    <w:rsid w:val="00AF2EF0"/>
    <w:rsid w:val="00AF4E1C"/>
    <w:rsid w:val="00AF4E3C"/>
    <w:rsid w:val="00AF6BF6"/>
    <w:rsid w:val="00B017FA"/>
    <w:rsid w:val="00B0278D"/>
    <w:rsid w:val="00B02F87"/>
    <w:rsid w:val="00B10445"/>
    <w:rsid w:val="00B11207"/>
    <w:rsid w:val="00B1166B"/>
    <w:rsid w:val="00B12562"/>
    <w:rsid w:val="00B13613"/>
    <w:rsid w:val="00B1555C"/>
    <w:rsid w:val="00B1719A"/>
    <w:rsid w:val="00B22203"/>
    <w:rsid w:val="00B226CF"/>
    <w:rsid w:val="00B249BF"/>
    <w:rsid w:val="00B25174"/>
    <w:rsid w:val="00B30FD0"/>
    <w:rsid w:val="00B33E24"/>
    <w:rsid w:val="00B3577F"/>
    <w:rsid w:val="00B3692B"/>
    <w:rsid w:val="00B408D0"/>
    <w:rsid w:val="00B40B22"/>
    <w:rsid w:val="00B41C97"/>
    <w:rsid w:val="00B45122"/>
    <w:rsid w:val="00B50FAB"/>
    <w:rsid w:val="00B52E32"/>
    <w:rsid w:val="00B56E4A"/>
    <w:rsid w:val="00B56EC5"/>
    <w:rsid w:val="00B62DCA"/>
    <w:rsid w:val="00B65122"/>
    <w:rsid w:val="00B656CA"/>
    <w:rsid w:val="00B679D2"/>
    <w:rsid w:val="00B70FDF"/>
    <w:rsid w:val="00B71ED5"/>
    <w:rsid w:val="00B71FA2"/>
    <w:rsid w:val="00B728FF"/>
    <w:rsid w:val="00B73253"/>
    <w:rsid w:val="00B74A56"/>
    <w:rsid w:val="00B75566"/>
    <w:rsid w:val="00B7743D"/>
    <w:rsid w:val="00B81CE2"/>
    <w:rsid w:val="00B83157"/>
    <w:rsid w:val="00B83DD6"/>
    <w:rsid w:val="00B83EB7"/>
    <w:rsid w:val="00B86104"/>
    <w:rsid w:val="00B86C40"/>
    <w:rsid w:val="00B879A0"/>
    <w:rsid w:val="00B9107B"/>
    <w:rsid w:val="00B91402"/>
    <w:rsid w:val="00B9147F"/>
    <w:rsid w:val="00B91BD1"/>
    <w:rsid w:val="00B923EB"/>
    <w:rsid w:val="00B92AF6"/>
    <w:rsid w:val="00B9415A"/>
    <w:rsid w:val="00B96981"/>
    <w:rsid w:val="00B97640"/>
    <w:rsid w:val="00BA0323"/>
    <w:rsid w:val="00BA0E11"/>
    <w:rsid w:val="00BA2D25"/>
    <w:rsid w:val="00BA3C19"/>
    <w:rsid w:val="00BA45FE"/>
    <w:rsid w:val="00BA4828"/>
    <w:rsid w:val="00BA6562"/>
    <w:rsid w:val="00BB2BEA"/>
    <w:rsid w:val="00BB3827"/>
    <w:rsid w:val="00BB6B76"/>
    <w:rsid w:val="00BC14A3"/>
    <w:rsid w:val="00BC2C7F"/>
    <w:rsid w:val="00BC3463"/>
    <w:rsid w:val="00BC712B"/>
    <w:rsid w:val="00BD2035"/>
    <w:rsid w:val="00BD5880"/>
    <w:rsid w:val="00BD64FA"/>
    <w:rsid w:val="00BD77E8"/>
    <w:rsid w:val="00BE1542"/>
    <w:rsid w:val="00BE19AD"/>
    <w:rsid w:val="00BE2873"/>
    <w:rsid w:val="00BE4D73"/>
    <w:rsid w:val="00BE709E"/>
    <w:rsid w:val="00BE722F"/>
    <w:rsid w:val="00BE7FEC"/>
    <w:rsid w:val="00BF1394"/>
    <w:rsid w:val="00BF56C4"/>
    <w:rsid w:val="00BF570B"/>
    <w:rsid w:val="00BF6D70"/>
    <w:rsid w:val="00BF6FFA"/>
    <w:rsid w:val="00BF7B6B"/>
    <w:rsid w:val="00C018A4"/>
    <w:rsid w:val="00C01AAF"/>
    <w:rsid w:val="00C0489E"/>
    <w:rsid w:val="00C05938"/>
    <w:rsid w:val="00C067D9"/>
    <w:rsid w:val="00C07891"/>
    <w:rsid w:val="00C078BF"/>
    <w:rsid w:val="00C0796F"/>
    <w:rsid w:val="00C07FB7"/>
    <w:rsid w:val="00C11293"/>
    <w:rsid w:val="00C1540D"/>
    <w:rsid w:val="00C23635"/>
    <w:rsid w:val="00C24DCD"/>
    <w:rsid w:val="00C25AB3"/>
    <w:rsid w:val="00C262A5"/>
    <w:rsid w:val="00C30388"/>
    <w:rsid w:val="00C32090"/>
    <w:rsid w:val="00C32AC8"/>
    <w:rsid w:val="00C33B7F"/>
    <w:rsid w:val="00C33C12"/>
    <w:rsid w:val="00C36D9B"/>
    <w:rsid w:val="00C37CA1"/>
    <w:rsid w:val="00C4362E"/>
    <w:rsid w:val="00C5438B"/>
    <w:rsid w:val="00C557D3"/>
    <w:rsid w:val="00C612C9"/>
    <w:rsid w:val="00C61BBE"/>
    <w:rsid w:val="00C62119"/>
    <w:rsid w:val="00C62407"/>
    <w:rsid w:val="00C6289B"/>
    <w:rsid w:val="00C64442"/>
    <w:rsid w:val="00C648EB"/>
    <w:rsid w:val="00C66BED"/>
    <w:rsid w:val="00C678F2"/>
    <w:rsid w:val="00C67C8B"/>
    <w:rsid w:val="00C67D5D"/>
    <w:rsid w:val="00C71BC2"/>
    <w:rsid w:val="00C71BCF"/>
    <w:rsid w:val="00C737C7"/>
    <w:rsid w:val="00C74677"/>
    <w:rsid w:val="00C77626"/>
    <w:rsid w:val="00C80B95"/>
    <w:rsid w:val="00C82AEC"/>
    <w:rsid w:val="00C84059"/>
    <w:rsid w:val="00C84382"/>
    <w:rsid w:val="00C845E3"/>
    <w:rsid w:val="00C8717D"/>
    <w:rsid w:val="00C87412"/>
    <w:rsid w:val="00C9086E"/>
    <w:rsid w:val="00C90A91"/>
    <w:rsid w:val="00C90CFB"/>
    <w:rsid w:val="00C91F25"/>
    <w:rsid w:val="00C91FDB"/>
    <w:rsid w:val="00C93458"/>
    <w:rsid w:val="00C93A17"/>
    <w:rsid w:val="00C94C89"/>
    <w:rsid w:val="00C95A53"/>
    <w:rsid w:val="00CA2673"/>
    <w:rsid w:val="00CA59F9"/>
    <w:rsid w:val="00CA5CD8"/>
    <w:rsid w:val="00CA6A6B"/>
    <w:rsid w:val="00CB00EF"/>
    <w:rsid w:val="00CB2206"/>
    <w:rsid w:val="00CB2246"/>
    <w:rsid w:val="00CB3395"/>
    <w:rsid w:val="00CB339F"/>
    <w:rsid w:val="00CB47C9"/>
    <w:rsid w:val="00CB5A35"/>
    <w:rsid w:val="00CB5E1D"/>
    <w:rsid w:val="00CB61D8"/>
    <w:rsid w:val="00CB6902"/>
    <w:rsid w:val="00CB7392"/>
    <w:rsid w:val="00CB7E42"/>
    <w:rsid w:val="00CC0544"/>
    <w:rsid w:val="00CC27E5"/>
    <w:rsid w:val="00CC44DF"/>
    <w:rsid w:val="00CC6290"/>
    <w:rsid w:val="00CC6713"/>
    <w:rsid w:val="00CD1814"/>
    <w:rsid w:val="00CD1C8C"/>
    <w:rsid w:val="00CD2202"/>
    <w:rsid w:val="00CD274A"/>
    <w:rsid w:val="00CD3368"/>
    <w:rsid w:val="00CD42AC"/>
    <w:rsid w:val="00CD436C"/>
    <w:rsid w:val="00CD4AC5"/>
    <w:rsid w:val="00CD593E"/>
    <w:rsid w:val="00CD6569"/>
    <w:rsid w:val="00CD67E1"/>
    <w:rsid w:val="00CD6FA5"/>
    <w:rsid w:val="00CD750A"/>
    <w:rsid w:val="00CE092E"/>
    <w:rsid w:val="00CE3E90"/>
    <w:rsid w:val="00CE603C"/>
    <w:rsid w:val="00CE766D"/>
    <w:rsid w:val="00CF128A"/>
    <w:rsid w:val="00CF135F"/>
    <w:rsid w:val="00CF3428"/>
    <w:rsid w:val="00CF46A9"/>
    <w:rsid w:val="00CF4795"/>
    <w:rsid w:val="00CF55B4"/>
    <w:rsid w:val="00CF588C"/>
    <w:rsid w:val="00CF76D3"/>
    <w:rsid w:val="00D01C8E"/>
    <w:rsid w:val="00D02076"/>
    <w:rsid w:val="00D045AB"/>
    <w:rsid w:val="00D04F03"/>
    <w:rsid w:val="00D05B94"/>
    <w:rsid w:val="00D06168"/>
    <w:rsid w:val="00D061CF"/>
    <w:rsid w:val="00D10669"/>
    <w:rsid w:val="00D12F3C"/>
    <w:rsid w:val="00D1320C"/>
    <w:rsid w:val="00D148DB"/>
    <w:rsid w:val="00D154FE"/>
    <w:rsid w:val="00D17019"/>
    <w:rsid w:val="00D20682"/>
    <w:rsid w:val="00D21E3D"/>
    <w:rsid w:val="00D23ABD"/>
    <w:rsid w:val="00D25CC4"/>
    <w:rsid w:val="00D26E52"/>
    <w:rsid w:val="00D30920"/>
    <w:rsid w:val="00D309CD"/>
    <w:rsid w:val="00D30B8A"/>
    <w:rsid w:val="00D33FF0"/>
    <w:rsid w:val="00D34111"/>
    <w:rsid w:val="00D3494F"/>
    <w:rsid w:val="00D34CEE"/>
    <w:rsid w:val="00D367DE"/>
    <w:rsid w:val="00D434D0"/>
    <w:rsid w:val="00D43E24"/>
    <w:rsid w:val="00D43E67"/>
    <w:rsid w:val="00D44E2B"/>
    <w:rsid w:val="00D462D0"/>
    <w:rsid w:val="00D501FB"/>
    <w:rsid w:val="00D51CBF"/>
    <w:rsid w:val="00D5264E"/>
    <w:rsid w:val="00D527CC"/>
    <w:rsid w:val="00D54452"/>
    <w:rsid w:val="00D553EF"/>
    <w:rsid w:val="00D55F55"/>
    <w:rsid w:val="00D565F0"/>
    <w:rsid w:val="00D57A12"/>
    <w:rsid w:val="00D60CB2"/>
    <w:rsid w:val="00D61BE3"/>
    <w:rsid w:val="00D61C2C"/>
    <w:rsid w:val="00D6441D"/>
    <w:rsid w:val="00D658F0"/>
    <w:rsid w:val="00D669A8"/>
    <w:rsid w:val="00D71592"/>
    <w:rsid w:val="00D71AB3"/>
    <w:rsid w:val="00D72B87"/>
    <w:rsid w:val="00D74866"/>
    <w:rsid w:val="00D8194A"/>
    <w:rsid w:val="00D86906"/>
    <w:rsid w:val="00D874FF"/>
    <w:rsid w:val="00D87A7A"/>
    <w:rsid w:val="00D87C6E"/>
    <w:rsid w:val="00D926A0"/>
    <w:rsid w:val="00D93623"/>
    <w:rsid w:val="00D93861"/>
    <w:rsid w:val="00D96ADA"/>
    <w:rsid w:val="00D96E34"/>
    <w:rsid w:val="00D97948"/>
    <w:rsid w:val="00DA0A4A"/>
    <w:rsid w:val="00DA0CD2"/>
    <w:rsid w:val="00DA2115"/>
    <w:rsid w:val="00DA2752"/>
    <w:rsid w:val="00DA325D"/>
    <w:rsid w:val="00DA4FBD"/>
    <w:rsid w:val="00DA63CB"/>
    <w:rsid w:val="00DA6DE1"/>
    <w:rsid w:val="00DA7A21"/>
    <w:rsid w:val="00DB03D6"/>
    <w:rsid w:val="00DB0A17"/>
    <w:rsid w:val="00DB17B0"/>
    <w:rsid w:val="00DB1FB4"/>
    <w:rsid w:val="00DB28C3"/>
    <w:rsid w:val="00DB2A6C"/>
    <w:rsid w:val="00DB2A92"/>
    <w:rsid w:val="00DB313A"/>
    <w:rsid w:val="00DB3B16"/>
    <w:rsid w:val="00DB5D4A"/>
    <w:rsid w:val="00DB6E90"/>
    <w:rsid w:val="00DC051E"/>
    <w:rsid w:val="00DC0BA7"/>
    <w:rsid w:val="00DC30D1"/>
    <w:rsid w:val="00DC4359"/>
    <w:rsid w:val="00DC5931"/>
    <w:rsid w:val="00DC7E2A"/>
    <w:rsid w:val="00DD1054"/>
    <w:rsid w:val="00DD201B"/>
    <w:rsid w:val="00DD2772"/>
    <w:rsid w:val="00DD4D4A"/>
    <w:rsid w:val="00DD5A53"/>
    <w:rsid w:val="00DE05CD"/>
    <w:rsid w:val="00DE106A"/>
    <w:rsid w:val="00DE1248"/>
    <w:rsid w:val="00DE1452"/>
    <w:rsid w:val="00DE1C88"/>
    <w:rsid w:val="00DE248A"/>
    <w:rsid w:val="00DE400E"/>
    <w:rsid w:val="00DE4F72"/>
    <w:rsid w:val="00DF127C"/>
    <w:rsid w:val="00DF1C5A"/>
    <w:rsid w:val="00DF2522"/>
    <w:rsid w:val="00DF3228"/>
    <w:rsid w:val="00DF75BF"/>
    <w:rsid w:val="00E02B51"/>
    <w:rsid w:val="00E03B5E"/>
    <w:rsid w:val="00E0472A"/>
    <w:rsid w:val="00E05553"/>
    <w:rsid w:val="00E0607A"/>
    <w:rsid w:val="00E064C6"/>
    <w:rsid w:val="00E06B12"/>
    <w:rsid w:val="00E1099C"/>
    <w:rsid w:val="00E11826"/>
    <w:rsid w:val="00E124E5"/>
    <w:rsid w:val="00E125CF"/>
    <w:rsid w:val="00E13AAB"/>
    <w:rsid w:val="00E154AB"/>
    <w:rsid w:val="00E15DB5"/>
    <w:rsid w:val="00E167A7"/>
    <w:rsid w:val="00E17008"/>
    <w:rsid w:val="00E17270"/>
    <w:rsid w:val="00E17F14"/>
    <w:rsid w:val="00E22598"/>
    <w:rsid w:val="00E2275A"/>
    <w:rsid w:val="00E23EB0"/>
    <w:rsid w:val="00E24112"/>
    <w:rsid w:val="00E24A54"/>
    <w:rsid w:val="00E27614"/>
    <w:rsid w:val="00E30F9B"/>
    <w:rsid w:val="00E30FB2"/>
    <w:rsid w:val="00E3418F"/>
    <w:rsid w:val="00E34B1A"/>
    <w:rsid w:val="00E34D90"/>
    <w:rsid w:val="00E37E3F"/>
    <w:rsid w:val="00E423B5"/>
    <w:rsid w:val="00E43161"/>
    <w:rsid w:val="00E44BC3"/>
    <w:rsid w:val="00E47D38"/>
    <w:rsid w:val="00E5439B"/>
    <w:rsid w:val="00E560C3"/>
    <w:rsid w:val="00E56D94"/>
    <w:rsid w:val="00E57269"/>
    <w:rsid w:val="00E6227C"/>
    <w:rsid w:val="00E63354"/>
    <w:rsid w:val="00E64343"/>
    <w:rsid w:val="00E65F30"/>
    <w:rsid w:val="00E6604D"/>
    <w:rsid w:val="00E709C3"/>
    <w:rsid w:val="00E71161"/>
    <w:rsid w:val="00E71F1D"/>
    <w:rsid w:val="00E77073"/>
    <w:rsid w:val="00E77889"/>
    <w:rsid w:val="00E77C2F"/>
    <w:rsid w:val="00E80A74"/>
    <w:rsid w:val="00E82529"/>
    <w:rsid w:val="00E82AE2"/>
    <w:rsid w:val="00E83615"/>
    <w:rsid w:val="00E8406C"/>
    <w:rsid w:val="00E8448C"/>
    <w:rsid w:val="00E86E3C"/>
    <w:rsid w:val="00E90797"/>
    <w:rsid w:val="00E9168A"/>
    <w:rsid w:val="00E91EC3"/>
    <w:rsid w:val="00E95580"/>
    <w:rsid w:val="00EA1069"/>
    <w:rsid w:val="00EA4838"/>
    <w:rsid w:val="00EA62CB"/>
    <w:rsid w:val="00EA7009"/>
    <w:rsid w:val="00EA71A6"/>
    <w:rsid w:val="00EB12C9"/>
    <w:rsid w:val="00EB71DE"/>
    <w:rsid w:val="00EC10F6"/>
    <w:rsid w:val="00EC1F50"/>
    <w:rsid w:val="00EC2A94"/>
    <w:rsid w:val="00EC37F9"/>
    <w:rsid w:val="00EC3977"/>
    <w:rsid w:val="00EC3B2B"/>
    <w:rsid w:val="00ED32F6"/>
    <w:rsid w:val="00ED393C"/>
    <w:rsid w:val="00ED4879"/>
    <w:rsid w:val="00ED4924"/>
    <w:rsid w:val="00ED49A4"/>
    <w:rsid w:val="00EE21E8"/>
    <w:rsid w:val="00EE3A44"/>
    <w:rsid w:val="00EE542B"/>
    <w:rsid w:val="00EE7581"/>
    <w:rsid w:val="00EE76A0"/>
    <w:rsid w:val="00EE787F"/>
    <w:rsid w:val="00EF20A8"/>
    <w:rsid w:val="00EF34B9"/>
    <w:rsid w:val="00EF5B9E"/>
    <w:rsid w:val="00EF6D5B"/>
    <w:rsid w:val="00F018E3"/>
    <w:rsid w:val="00F02DD2"/>
    <w:rsid w:val="00F05BE7"/>
    <w:rsid w:val="00F05DC4"/>
    <w:rsid w:val="00F05FC7"/>
    <w:rsid w:val="00F06E5E"/>
    <w:rsid w:val="00F1250D"/>
    <w:rsid w:val="00F1761F"/>
    <w:rsid w:val="00F23F43"/>
    <w:rsid w:val="00F24D1D"/>
    <w:rsid w:val="00F268C5"/>
    <w:rsid w:val="00F26FFA"/>
    <w:rsid w:val="00F271E0"/>
    <w:rsid w:val="00F30A62"/>
    <w:rsid w:val="00F314CD"/>
    <w:rsid w:val="00F333BD"/>
    <w:rsid w:val="00F34C3B"/>
    <w:rsid w:val="00F3677F"/>
    <w:rsid w:val="00F374CB"/>
    <w:rsid w:val="00F37664"/>
    <w:rsid w:val="00F4039C"/>
    <w:rsid w:val="00F421D8"/>
    <w:rsid w:val="00F44813"/>
    <w:rsid w:val="00F44DC0"/>
    <w:rsid w:val="00F459A0"/>
    <w:rsid w:val="00F50DBB"/>
    <w:rsid w:val="00F52183"/>
    <w:rsid w:val="00F52A8F"/>
    <w:rsid w:val="00F5449C"/>
    <w:rsid w:val="00F567B4"/>
    <w:rsid w:val="00F606EC"/>
    <w:rsid w:val="00F67DEE"/>
    <w:rsid w:val="00F73A0E"/>
    <w:rsid w:val="00F74E3A"/>
    <w:rsid w:val="00F75D6B"/>
    <w:rsid w:val="00F80A79"/>
    <w:rsid w:val="00F81824"/>
    <w:rsid w:val="00F83EED"/>
    <w:rsid w:val="00F850E7"/>
    <w:rsid w:val="00F853F7"/>
    <w:rsid w:val="00F86B30"/>
    <w:rsid w:val="00F87EF8"/>
    <w:rsid w:val="00F91B3B"/>
    <w:rsid w:val="00F91B95"/>
    <w:rsid w:val="00F92972"/>
    <w:rsid w:val="00F92A3A"/>
    <w:rsid w:val="00F9461F"/>
    <w:rsid w:val="00F94A40"/>
    <w:rsid w:val="00F958B9"/>
    <w:rsid w:val="00FA1F9A"/>
    <w:rsid w:val="00FA2306"/>
    <w:rsid w:val="00FA2546"/>
    <w:rsid w:val="00FA2ECD"/>
    <w:rsid w:val="00FA2F43"/>
    <w:rsid w:val="00FA3060"/>
    <w:rsid w:val="00FA40DA"/>
    <w:rsid w:val="00FA45C2"/>
    <w:rsid w:val="00FA566B"/>
    <w:rsid w:val="00FA603D"/>
    <w:rsid w:val="00FA609D"/>
    <w:rsid w:val="00FA71A4"/>
    <w:rsid w:val="00FA7BBE"/>
    <w:rsid w:val="00FA7DDB"/>
    <w:rsid w:val="00FB115A"/>
    <w:rsid w:val="00FB119D"/>
    <w:rsid w:val="00FB3136"/>
    <w:rsid w:val="00FB4D33"/>
    <w:rsid w:val="00FB554F"/>
    <w:rsid w:val="00FC108F"/>
    <w:rsid w:val="00FC16DC"/>
    <w:rsid w:val="00FC29B7"/>
    <w:rsid w:val="00FC2BA9"/>
    <w:rsid w:val="00FC4746"/>
    <w:rsid w:val="00FC49A4"/>
    <w:rsid w:val="00FD1D78"/>
    <w:rsid w:val="00FD2323"/>
    <w:rsid w:val="00FD5598"/>
    <w:rsid w:val="00FD7CE5"/>
    <w:rsid w:val="00FE0B4D"/>
    <w:rsid w:val="00FE1A9D"/>
    <w:rsid w:val="00FE1B98"/>
    <w:rsid w:val="00FE1E8E"/>
    <w:rsid w:val="00FE2ADC"/>
    <w:rsid w:val="00FE46CE"/>
    <w:rsid w:val="00FE570F"/>
    <w:rsid w:val="00FF1E7A"/>
    <w:rsid w:val="00FF3B83"/>
    <w:rsid w:val="00FF4E94"/>
    <w:rsid w:val="00FF6C45"/>
    <w:rsid w:val="00FF6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040F2"/>
    <w:pPr>
      <w:jc w:val="both"/>
    </w:pPr>
    <w:rPr>
      <w:rFonts w:ascii="Verdana" w:hAnsi="Verdana"/>
      <w:sz w:val="22"/>
    </w:rPr>
  </w:style>
  <w:style w:type="paragraph" w:styleId="Heading1">
    <w:name w:val="heading 1"/>
    <w:basedOn w:val="Normal"/>
    <w:next w:val="Heading2"/>
    <w:qFormat/>
    <w:rsid w:val="00BA2D25"/>
    <w:pPr>
      <w:keepNext/>
      <w:widowControl w:val="0"/>
      <w:numPr>
        <w:numId w:val="2"/>
      </w:numPr>
      <w:spacing w:before="220" w:after="60"/>
      <w:jc w:val="left"/>
      <w:outlineLvl w:val="0"/>
    </w:pPr>
    <w:rPr>
      <w:b/>
      <w:color w:val="000000"/>
      <w:kern w:val="28"/>
      <w:szCs w:val="24"/>
    </w:rPr>
  </w:style>
  <w:style w:type="paragraph" w:styleId="Heading2">
    <w:name w:val="heading 2"/>
    <w:basedOn w:val="Normal"/>
    <w:next w:val="Normal"/>
    <w:qFormat/>
    <w:rsid w:val="00BA2D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EE6"/>
    <w:pPr>
      <w:tabs>
        <w:tab w:val="center" w:pos="4678"/>
        <w:tab w:val="right" w:pos="9356"/>
      </w:tabs>
      <w:jc w:val="center"/>
    </w:pPr>
    <w:rPr>
      <w:sz w:val="16"/>
    </w:rPr>
  </w:style>
  <w:style w:type="paragraph" w:customStyle="1" w:styleId="Noindent">
    <w:name w:val="No indent"/>
    <w:basedOn w:val="Normal"/>
    <w:rsid w:val="006C04F8"/>
    <w:pPr>
      <w:tabs>
        <w:tab w:val="left" w:pos="426"/>
      </w:tabs>
    </w:pPr>
  </w:style>
  <w:style w:type="paragraph" w:customStyle="1" w:styleId="TBullet">
    <w:name w:val="T_Bullet"/>
    <w:basedOn w:val="Normal"/>
    <w:rsid w:val="005527D2"/>
    <w:pPr>
      <w:numPr>
        <w:numId w:val="1"/>
      </w:numPr>
      <w:tabs>
        <w:tab w:val="left" w:pos="851"/>
      </w:tabs>
    </w:pPr>
    <w:rPr>
      <w:color w:val="000000"/>
    </w:rPr>
  </w:style>
  <w:style w:type="paragraph" w:styleId="Footer">
    <w:name w:val="footer"/>
    <w:basedOn w:val="Normal"/>
    <w:rsid w:val="00217470"/>
    <w:pPr>
      <w:tabs>
        <w:tab w:val="center" w:pos="4153"/>
        <w:tab w:val="right" w:pos="8306"/>
      </w:tabs>
    </w:pPr>
  </w:style>
  <w:style w:type="paragraph" w:styleId="BalloonText">
    <w:name w:val="Balloon Text"/>
    <w:basedOn w:val="Normal"/>
    <w:semiHidden/>
    <w:rsid w:val="00216023"/>
    <w:rPr>
      <w:rFonts w:ascii="Tahoma" w:hAnsi="Tahoma" w:cs="Tahoma"/>
      <w:sz w:val="16"/>
      <w:szCs w:val="16"/>
    </w:rPr>
  </w:style>
  <w:style w:type="character" w:styleId="CommentReference">
    <w:name w:val="annotation reference"/>
    <w:semiHidden/>
    <w:rsid w:val="008A52E1"/>
    <w:rPr>
      <w:sz w:val="16"/>
      <w:szCs w:val="16"/>
    </w:rPr>
  </w:style>
  <w:style w:type="paragraph" w:styleId="CommentText">
    <w:name w:val="annotation text"/>
    <w:basedOn w:val="Normal"/>
    <w:semiHidden/>
    <w:rsid w:val="008A52E1"/>
    <w:rPr>
      <w:sz w:val="20"/>
    </w:rPr>
  </w:style>
  <w:style w:type="paragraph" w:styleId="CommentSubject">
    <w:name w:val="annotation subject"/>
    <w:basedOn w:val="CommentText"/>
    <w:next w:val="CommentText"/>
    <w:semiHidden/>
    <w:rsid w:val="008A52E1"/>
    <w:rPr>
      <w:b/>
      <w:bCs/>
    </w:rPr>
  </w:style>
  <w:style w:type="paragraph" w:customStyle="1" w:styleId="Nnumber">
    <w:name w:val="N_number"/>
    <w:link w:val="NnumberChar"/>
    <w:rsid w:val="00BA2D25"/>
    <w:pPr>
      <w:numPr>
        <w:ilvl w:val="1"/>
        <w:numId w:val="2"/>
      </w:numPr>
      <w:spacing w:before="160" w:after="60"/>
    </w:pPr>
    <w:rPr>
      <w:rFonts w:ascii="Verdana" w:hAnsi="Verdana"/>
    </w:rPr>
  </w:style>
  <w:style w:type="character" w:customStyle="1" w:styleId="NnumberChar">
    <w:name w:val="N_number Char"/>
    <w:link w:val="Nnumber"/>
    <w:rsid w:val="00BA2D25"/>
    <w:rPr>
      <w:rFonts w:ascii="Verdana" w:hAnsi="Verdana"/>
      <w:lang w:val="en-GB" w:eastAsia="en-GB" w:bidi="ar-SA"/>
    </w:rPr>
  </w:style>
  <w:style w:type="table" w:styleId="TableGrid">
    <w:name w:val="Table Grid"/>
    <w:basedOn w:val="TableNormal"/>
    <w:uiPriority w:val="59"/>
    <w:rsid w:val="008645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DReportMainHeading">
    <w:name w:val="DPD Report Main Heading"/>
    <w:basedOn w:val="Noindent"/>
    <w:next w:val="DPDReportIssuesHeading"/>
    <w:rsid w:val="00663F5A"/>
    <w:pPr>
      <w:tabs>
        <w:tab w:val="clear" w:pos="426"/>
      </w:tabs>
      <w:spacing w:after="120"/>
      <w:jc w:val="left"/>
    </w:pPr>
    <w:rPr>
      <w:b/>
      <w:sz w:val="32"/>
    </w:rPr>
  </w:style>
  <w:style w:type="paragraph" w:customStyle="1" w:styleId="DPDReportIssuesHeading">
    <w:name w:val="DPD Report Issues Heading"/>
    <w:basedOn w:val="Heading2"/>
    <w:next w:val="DPDReportNumberedParaIntro"/>
    <w:autoRedefine/>
    <w:rsid w:val="00F44813"/>
    <w:pPr>
      <w:spacing w:before="0" w:after="120"/>
    </w:pPr>
    <w:rPr>
      <w:rFonts w:ascii="Verdana" w:hAnsi="Verdana"/>
      <w:i w:val="0"/>
      <w:color w:val="3366FF"/>
      <w:sz w:val="22"/>
    </w:rPr>
  </w:style>
  <w:style w:type="paragraph" w:customStyle="1" w:styleId="DPDReportNumberedParaIntro">
    <w:name w:val="DPD Report Numbered Para Intro"/>
    <w:basedOn w:val="Normal"/>
    <w:rsid w:val="00444432"/>
    <w:pPr>
      <w:numPr>
        <w:numId w:val="6"/>
      </w:numPr>
      <w:spacing w:after="240"/>
      <w:jc w:val="left"/>
    </w:pPr>
    <w:rPr>
      <w:rFonts w:eastAsia="MS Mincho"/>
      <w:bCs/>
    </w:rPr>
  </w:style>
  <w:style w:type="paragraph" w:styleId="BodyText">
    <w:name w:val="Body Text"/>
    <w:basedOn w:val="Normal"/>
    <w:rsid w:val="00325A06"/>
    <w:pPr>
      <w:spacing w:after="120"/>
    </w:pPr>
  </w:style>
  <w:style w:type="paragraph" w:customStyle="1" w:styleId="DPDReportRecommendationHeading">
    <w:name w:val="DPD Report Recommendation Heading"/>
    <w:basedOn w:val="Normal"/>
    <w:next w:val="DPDReportNumberedParaIntro"/>
    <w:rsid w:val="000E72D7"/>
    <w:pPr>
      <w:pBdr>
        <w:top w:val="single" w:sz="4" w:space="1" w:color="auto"/>
        <w:left w:val="single" w:sz="4" w:space="4" w:color="auto"/>
        <w:bottom w:val="single" w:sz="4" w:space="1" w:color="auto"/>
        <w:right w:val="single" w:sz="4" w:space="4" w:color="auto"/>
      </w:pBdr>
      <w:jc w:val="left"/>
    </w:pPr>
    <w:rPr>
      <w:b/>
    </w:rPr>
  </w:style>
  <w:style w:type="paragraph" w:customStyle="1" w:styleId="8ptnormal">
    <w:name w:val="8pt normal"/>
    <w:basedOn w:val="Normal"/>
    <w:rsid w:val="00140A42"/>
    <w:pPr>
      <w:ind w:left="-113"/>
      <w:jc w:val="left"/>
    </w:pPr>
    <w:rPr>
      <w:rFonts w:eastAsia="MS Mincho"/>
      <w:sz w:val="16"/>
    </w:rPr>
  </w:style>
  <w:style w:type="paragraph" w:customStyle="1" w:styleId="DPDIssueSubheading">
    <w:name w:val="DPD Issue Sub heading"/>
    <w:basedOn w:val="DPDReportNumberedParaIntro"/>
    <w:autoRedefine/>
    <w:rsid w:val="005807A3"/>
    <w:pPr>
      <w:numPr>
        <w:numId w:val="0"/>
      </w:numPr>
      <w:spacing w:before="120"/>
    </w:pPr>
    <w:rPr>
      <w:i/>
    </w:rPr>
  </w:style>
  <w:style w:type="paragraph" w:customStyle="1" w:styleId="DPDIntro">
    <w:name w:val="DPD Intro"/>
    <w:basedOn w:val="DPDReportNumberedParaIntro"/>
    <w:rsid w:val="00663FB9"/>
    <w:pPr>
      <w:numPr>
        <w:numId w:val="0"/>
      </w:numPr>
    </w:pPr>
    <w:rPr>
      <w:b/>
    </w:rPr>
  </w:style>
  <w:style w:type="character" w:styleId="PageNumber">
    <w:name w:val="page number"/>
    <w:basedOn w:val="DefaultParagraphFont"/>
    <w:rsid w:val="00FB3136"/>
  </w:style>
  <w:style w:type="paragraph" w:customStyle="1" w:styleId="DPDNumberedParagraph">
    <w:name w:val="DPD Numbered Paragraph"/>
    <w:basedOn w:val="Noindent"/>
    <w:rsid w:val="009C2374"/>
    <w:pPr>
      <w:numPr>
        <w:numId w:val="9"/>
      </w:numPr>
      <w:tabs>
        <w:tab w:val="clear" w:pos="426"/>
      </w:tabs>
      <w:spacing w:after="240"/>
      <w:jc w:val="left"/>
    </w:pPr>
    <w:rPr>
      <w:szCs w:val="22"/>
    </w:rPr>
  </w:style>
  <w:style w:type="paragraph" w:styleId="FootnoteText">
    <w:name w:val="footnote text"/>
    <w:basedOn w:val="Normal"/>
    <w:semiHidden/>
    <w:rsid w:val="00D02076"/>
    <w:rPr>
      <w:sz w:val="20"/>
    </w:rPr>
  </w:style>
  <w:style w:type="character" w:styleId="FootnoteReference">
    <w:name w:val="footnote reference"/>
    <w:semiHidden/>
    <w:rsid w:val="00D02076"/>
    <w:rPr>
      <w:vertAlign w:val="superscript"/>
    </w:rPr>
  </w:style>
  <w:style w:type="paragraph" w:customStyle="1" w:styleId="Style7ptBlackLeft-019cmRight-019cm">
    <w:name w:val="Style 7 pt Black Left:  -0.19 cm Right:  -0.19 cm"/>
    <w:basedOn w:val="Normal"/>
    <w:rsid w:val="00711876"/>
    <w:pPr>
      <w:ind w:left="-108" w:right="-108"/>
      <w:jc w:val="left"/>
    </w:pPr>
    <w:rPr>
      <w:color w:val="000000"/>
      <w:sz w:val="14"/>
    </w:rPr>
  </w:style>
  <w:style w:type="paragraph" w:customStyle="1" w:styleId="StyleVerdana7ptBlackLeft-02cm">
    <w:name w:val="Style Verdana 7 pt Black Left:  -0.2 cm"/>
    <w:basedOn w:val="Normal"/>
    <w:rsid w:val="00711876"/>
    <w:pPr>
      <w:ind w:left="-113"/>
      <w:jc w:val="left"/>
    </w:pPr>
    <w:rPr>
      <w:color w:val="000000"/>
      <w:sz w:val="14"/>
    </w:rPr>
  </w:style>
  <w:style w:type="paragraph" w:styleId="NormalWeb">
    <w:name w:val="Normal (Web)"/>
    <w:basedOn w:val="Normal"/>
    <w:rsid w:val="008C32E9"/>
    <w:pPr>
      <w:jc w:val="left"/>
    </w:pPr>
    <w:rPr>
      <w:szCs w:val="22"/>
      <w:lang w:eastAsia="en-US"/>
    </w:rPr>
  </w:style>
  <w:style w:type="paragraph" w:customStyle="1" w:styleId="LPH1">
    <w:name w:val="LP H1"/>
    <w:basedOn w:val="Normal"/>
    <w:next w:val="Normal"/>
    <w:qFormat/>
    <w:rsid w:val="00D72B87"/>
    <w:pPr>
      <w:numPr>
        <w:numId w:val="41"/>
      </w:numPr>
      <w:pBdr>
        <w:bottom w:val="single" w:sz="12" w:space="11" w:color="84286B"/>
      </w:pBdr>
      <w:spacing w:before="240" w:after="240" w:line="336" w:lineRule="auto"/>
      <w:jc w:val="left"/>
    </w:pPr>
    <w:rPr>
      <w:rFonts w:ascii="Montreal-Regular" w:eastAsiaTheme="minorHAnsi" w:hAnsi="Montreal-Regular" w:cs="Calibri"/>
      <w:color w:val="84286B"/>
      <w:spacing w:val="8"/>
      <w:sz w:val="48"/>
      <w:szCs w:val="22"/>
      <w:lang w:eastAsia="en-US"/>
    </w:rPr>
  </w:style>
  <w:style w:type="paragraph" w:customStyle="1" w:styleId="LPH2">
    <w:name w:val="LP H2"/>
    <w:basedOn w:val="Normal"/>
    <w:qFormat/>
    <w:rsid w:val="00D72B87"/>
    <w:pPr>
      <w:numPr>
        <w:ilvl w:val="1"/>
        <w:numId w:val="41"/>
      </w:numPr>
      <w:spacing w:after="240" w:line="336" w:lineRule="auto"/>
      <w:jc w:val="left"/>
    </w:pPr>
    <w:rPr>
      <w:rFonts w:ascii="Montreal-Regular" w:eastAsiaTheme="minorHAnsi" w:hAnsi="Montreal-Regular" w:cs="Calibri"/>
      <w:spacing w:val="8"/>
      <w:sz w:val="20"/>
      <w:szCs w:val="22"/>
      <w:lang w:eastAsia="en-US"/>
    </w:rPr>
  </w:style>
  <w:style w:type="paragraph" w:customStyle="1" w:styleId="LPH3">
    <w:name w:val="LP H3"/>
    <w:basedOn w:val="Normal"/>
    <w:qFormat/>
    <w:rsid w:val="00D72B87"/>
    <w:pPr>
      <w:numPr>
        <w:ilvl w:val="2"/>
        <w:numId w:val="41"/>
      </w:numPr>
      <w:spacing w:after="240" w:line="336" w:lineRule="auto"/>
      <w:jc w:val="left"/>
    </w:pPr>
    <w:rPr>
      <w:rFonts w:ascii="Montreal-Regular" w:eastAsiaTheme="minorHAnsi" w:hAnsi="Montreal-Regular" w:cs="Calibri"/>
      <w:spacing w:val="8"/>
      <w:sz w:val="20"/>
      <w:szCs w:val="22"/>
      <w:lang w:eastAsia="en-US"/>
    </w:rPr>
  </w:style>
  <w:style w:type="paragraph" w:customStyle="1" w:styleId="LPH-Map">
    <w:name w:val="LP H-Map"/>
    <w:basedOn w:val="LPH3"/>
    <w:next w:val="Normal"/>
    <w:qFormat/>
    <w:rsid w:val="00D72B87"/>
    <w:pPr>
      <w:numPr>
        <w:ilvl w:val="4"/>
      </w:numPr>
    </w:pPr>
    <w:rPr>
      <w:color w:val="84286B"/>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040F2"/>
    <w:pPr>
      <w:jc w:val="both"/>
    </w:pPr>
    <w:rPr>
      <w:rFonts w:ascii="Verdana" w:hAnsi="Verdana"/>
      <w:sz w:val="22"/>
    </w:rPr>
  </w:style>
  <w:style w:type="paragraph" w:styleId="Heading1">
    <w:name w:val="heading 1"/>
    <w:basedOn w:val="Normal"/>
    <w:next w:val="Heading2"/>
    <w:qFormat/>
    <w:rsid w:val="00BA2D25"/>
    <w:pPr>
      <w:keepNext/>
      <w:widowControl w:val="0"/>
      <w:numPr>
        <w:numId w:val="2"/>
      </w:numPr>
      <w:spacing w:before="220" w:after="60"/>
      <w:jc w:val="left"/>
      <w:outlineLvl w:val="0"/>
    </w:pPr>
    <w:rPr>
      <w:b/>
      <w:color w:val="000000"/>
      <w:kern w:val="28"/>
      <w:szCs w:val="24"/>
    </w:rPr>
  </w:style>
  <w:style w:type="paragraph" w:styleId="Heading2">
    <w:name w:val="heading 2"/>
    <w:basedOn w:val="Normal"/>
    <w:next w:val="Normal"/>
    <w:qFormat/>
    <w:rsid w:val="00BA2D2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7EE6"/>
    <w:pPr>
      <w:tabs>
        <w:tab w:val="center" w:pos="4678"/>
        <w:tab w:val="right" w:pos="9356"/>
      </w:tabs>
      <w:jc w:val="center"/>
    </w:pPr>
    <w:rPr>
      <w:sz w:val="16"/>
    </w:rPr>
  </w:style>
  <w:style w:type="paragraph" w:customStyle="1" w:styleId="Noindent">
    <w:name w:val="No indent"/>
    <w:basedOn w:val="Normal"/>
    <w:rsid w:val="006C04F8"/>
    <w:pPr>
      <w:tabs>
        <w:tab w:val="left" w:pos="426"/>
      </w:tabs>
    </w:pPr>
  </w:style>
  <w:style w:type="paragraph" w:customStyle="1" w:styleId="TBullet">
    <w:name w:val="T_Bullet"/>
    <w:basedOn w:val="Normal"/>
    <w:rsid w:val="005527D2"/>
    <w:pPr>
      <w:numPr>
        <w:numId w:val="1"/>
      </w:numPr>
      <w:tabs>
        <w:tab w:val="left" w:pos="851"/>
      </w:tabs>
    </w:pPr>
    <w:rPr>
      <w:color w:val="000000"/>
    </w:rPr>
  </w:style>
  <w:style w:type="paragraph" w:styleId="Footer">
    <w:name w:val="footer"/>
    <w:basedOn w:val="Normal"/>
    <w:rsid w:val="00217470"/>
    <w:pPr>
      <w:tabs>
        <w:tab w:val="center" w:pos="4153"/>
        <w:tab w:val="right" w:pos="8306"/>
      </w:tabs>
    </w:pPr>
  </w:style>
  <w:style w:type="paragraph" w:styleId="BalloonText">
    <w:name w:val="Balloon Text"/>
    <w:basedOn w:val="Normal"/>
    <w:semiHidden/>
    <w:rsid w:val="00216023"/>
    <w:rPr>
      <w:rFonts w:ascii="Tahoma" w:hAnsi="Tahoma" w:cs="Tahoma"/>
      <w:sz w:val="16"/>
      <w:szCs w:val="16"/>
    </w:rPr>
  </w:style>
  <w:style w:type="character" w:styleId="CommentReference">
    <w:name w:val="annotation reference"/>
    <w:semiHidden/>
    <w:rsid w:val="008A52E1"/>
    <w:rPr>
      <w:sz w:val="16"/>
      <w:szCs w:val="16"/>
    </w:rPr>
  </w:style>
  <w:style w:type="paragraph" w:styleId="CommentText">
    <w:name w:val="annotation text"/>
    <w:basedOn w:val="Normal"/>
    <w:semiHidden/>
    <w:rsid w:val="008A52E1"/>
    <w:rPr>
      <w:sz w:val="20"/>
    </w:rPr>
  </w:style>
  <w:style w:type="paragraph" w:styleId="CommentSubject">
    <w:name w:val="annotation subject"/>
    <w:basedOn w:val="CommentText"/>
    <w:next w:val="CommentText"/>
    <w:semiHidden/>
    <w:rsid w:val="008A52E1"/>
    <w:rPr>
      <w:b/>
      <w:bCs/>
    </w:rPr>
  </w:style>
  <w:style w:type="paragraph" w:customStyle="1" w:styleId="Nnumber">
    <w:name w:val="N_number"/>
    <w:link w:val="NnumberChar"/>
    <w:rsid w:val="00BA2D25"/>
    <w:pPr>
      <w:numPr>
        <w:ilvl w:val="1"/>
        <w:numId w:val="2"/>
      </w:numPr>
      <w:spacing w:before="160" w:after="60"/>
    </w:pPr>
    <w:rPr>
      <w:rFonts w:ascii="Verdana" w:hAnsi="Verdana"/>
    </w:rPr>
  </w:style>
  <w:style w:type="character" w:customStyle="1" w:styleId="NnumberChar">
    <w:name w:val="N_number Char"/>
    <w:link w:val="Nnumber"/>
    <w:rsid w:val="00BA2D25"/>
    <w:rPr>
      <w:rFonts w:ascii="Verdana" w:hAnsi="Verdana"/>
      <w:lang w:val="en-GB" w:eastAsia="en-GB" w:bidi="ar-SA"/>
    </w:rPr>
  </w:style>
  <w:style w:type="table" w:styleId="TableGrid">
    <w:name w:val="Table Grid"/>
    <w:basedOn w:val="TableNormal"/>
    <w:uiPriority w:val="59"/>
    <w:rsid w:val="008645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PDReportMainHeading">
    <w:name w:val="DPD Report Main Heading"/>
    <w:basedOn w:val="Noindent"/>
    <w:next w:val="DPDReportIssuesHeading"/>
    <w:rsid w:val="00663F5A"/>
    <w:pPr>
      <w:tabs>
        <w:tab w:val="clear" w:pos="426"/>
      </w:tabs>
      <w:spacing w:after="120"/>
      <w:jc w:val="left"/>
    </w:pPr>
    <w:rPr>
      <w:b/>
      <w:sz w:val="32"/>
    </w:rPr>
  </w:style>
  <w:style w:type="paragraph" w:customStyle="1" w:styleId="DPDReportIssuesHeading">
    <w:name w:val="DPD Report Issues Heading"/>
    <w:basedOn w:val="Heading2"/>
    <w:next w:val="DPDReportNumberedParaIntro"/>
    <w:autoRedefine/>
    <w:rsid w:val="00F44813"/>
    <w:pPr>
      <w:spacing w:before="0" w:after="120"/>
    </w:pPr>
    <w:rPr>
      <w:rFonts w:ascii="Verdana" w:hAnsi="Verdana"/>
      <w:i w:val="0"/>
      <w:color w:val="3366FF"/>
      <w:sz w:val="22"/>
    </w:rPr>
  </w:style>
  <w:style w:type="paragraph" w:customStyle="1" w:styleId="DPDReportNumberedParaIntro">
    <w:name w:val="DPD Report Numbered Para Intro"/>
    <w:basedOn w:val="Normal"/>
    <w:rsid w:val="00444432"/>
    <w:pPr>
      <w:numPr>
        <w:numId w:val="6"/>
      </w:numPr>
      <w:spacing w:after="240"/>
      <w:jc w:val="left"/>
    </w:pPr>
    <w:rPr>
      <w:rFonts w:eastAsia="MS Mincho"/>
      <w:bCs/>
    </w:rPr>
  </w:style>
  <w:style w:type="paragraph" w:styleId="BodyText">
    <w:name w:val="Body Text"/>
    <w:basedOn w:val="Normal"/>
    <w:rsid w:val="00325A06"/>
    <w:pPr>
      <w:spacing w:after="120"/>
    </w:pPr>
  </w:style>
  <w:style w:type="paragraph" w:customStyle="1" w:styleId="DPDReportRecommendationHeading">
    <w:name w:val="DPD Report Recommendation Heading"/>
    <w:basedOn w:val="Normal"/>
    <w:next w:val="DPDReportNumberedParaIntro"/>
    <w:rsid w:val="000E72D7"/>
    <w:pPr>
      <w:pBdr>
        <w:top w:val="single" w:sz="4" w:space="1" w:color="auto"/>
        <w:left w:val="single" w:sz="4" w:space="4" w:color="auto"/>
        <w:bottom w:val="single" w:sz="4" w:space="1" w:color="auto"/>
        <w:right w:val="single" w:sz="4" w:space="4" w:color="auto"/>
      </w:pBdr>
      <w:jc w:val="left"/>
    </w:pPr>
    <w:rPr>
      <w:b/>
    </w:rPr>
  </w:style>
  <w:style w:type="paragraph" w:customStyle="1" w:styleId="8ptnormal">
    <w:name w:val="8pt normal"/>
    <w:basedOn w:val="Normal"/>
    <w:rsid w:val="00140A42"/>
    <w:pPr>
      <w:ind w:left="-113"/>
      <w:jc w:val="left"/>
    </w:pPr>
    <w:rPr>
      <w:rFonts w:eastAsia="MS Mincho"/>
      <w:sz w:val="16"/>
    </w:rPr>
  </w:style>
  <w:style w:type="paragraph" w:customStyle="1" w:styleId="DPDIssueSubheading">
    <w:name w:val="DPD Issue Sub heading"/>
    <w:basedOn w:val="DPDReportNumberedParaIntro"/>
    <w:autoRedefine/>
    <w:rsid w:val="005807A3"/>
    <w:pPr>
      <w:numPr>
        <w:numId w:val="0"/>
      </w:numPr>
      <w:spacing w:before="120"/>
    </w:pPr>
    <w:rPr>
      <w:i/>
    </w:rPr>
  </w:style>
  <w:style w:type="paragraph" w:customStyle="1" w:styleId="DPDIntro">
    <w:name w:val="DPD Intro"/>
    <w:basedOn w:val="DPDReportNumberedParaIntro"/>
    <w:rsid w:val="00663FB9"/>
    <w:pPr>
      <w:numPr>
        <w:numId w:val="0"/>
      </w:numPr>
    </w:pPr>
    <w:rPr>
      <w:b/>
    </w:rPr>
  </w:style>
  <w:style w:type="character" w:styleId="PageNumber">
    <w:name w:val="page number"/>
    <w:basedOn w:val="DefaultParagraphFont"/>
    <w:rsid w:val="00FB3136"/>
  </w:style>
  <w:style w:type="paragraph" w:customStyle="1" w:styleId="DPDNumberedParagraph">
    <w:name w:val="DPD Numbered Paragraph"/>
    <w:basedOn w:val="Noindent"/>
    <w:rsid w:val="009C2374"/>
    <w:pPr>
      <w:numPr>
        <w:numId w:val="9"/>
      </w:numPr>
      <w:tabs>
        <w:tab w:val="clear" w:pos="426"/>
      </w:tabs>
      <w:spacing w:after="240"/>
      <w:jc w:val="left"/>
    </w:pPr>
    <w:rPr>
      <w:szCs w:val="22"/>
    </w:rPr>
  </w:style>
  <w:style w:type="paragraph" w:styleId="FootnoteText">
    <w:name w:val="footnote text"/>
    <w:basedOn w:val="Normal"/>
    <w:semiHidden/>
    <w:rsid w:val="00D02076"/>
    <w:rPr>
      <w:sz w:val="20"/>
    </w:rPr>
  </w:style>
  <w:style w:type="character" w:styleId="FootnoteReference">
    <w:name w:val="footnote reference"/>
    <w:semiHidden/>
    <w:rsid w:val="00D02076"/>
    <w:rPr>
      <w:vertAlign w:val="superscript"/>
    </w:rPr>
  </w:style>
  <w:style w:type="paragraph" w:customStyle="1" w:styleId="Style7ptBlackLeft-019cmRight-019cm">
    <w:name w:val="Style 7 pt Black Left:  -0.19 cm Right:  -0.19 cm"/>
    <w:basedOn w:val="Normal"/>
    <w:rsid w:val="00711876"/>
    <w:pPr>
      <w:ind w:left="-108" w:right="-108"/>
      <w:jc w:val="left"/>
    </w:pPr>
    <w:rPr>
      <w:color w:val="000000"/>
      <w:sz w:val="14"/>
    </w:rPr>
  </w:style>
  <w:style w:type="paragraph" w:customStyle="1" w:styleId="StyleVerdana7ptBlackLeft-02cm">
    <w:name w:val="Style Verdana 7 pt Black Left:  -0.2 cm"/>
    <w:basedOn w:val="Normal"/>
    <w:rsid w:val="00711876"/>
    <w:pPr>
      <w:ind w:left="-113"/>
      <w:jc w:val="left"/>
    </w:pPr>
    <w:rPr>
      <w:color w:val="000000"/>
      <w:sz w:val="14"/>
    </w:rPr>
  </w:style>
  <w:style w:type="paragraph" w:styleId="NormalWeb">
    <w:name w:val="Normal (Web)"/>
    <w:basedOn w:val="Normal"/>
    <w:rsid w:val="008C32E9"/>
    <w:pPr>
      <w:jc w:val="left"/>
    </w:pPr>
    <w:rPr>
      <w:szCs w:val="22"/>
      <w:lang w:eastAsia="en-US"/>
    </w:rPr>
  </w:style>
  <w:style w:type="paragraph" w:customStyle="1" w:styleId="LPH1">
    <w:name w:val="LP H1"/>
    <w:basedOn w:val="Normal"/>
    <w:next w:val="Normal"/>
    <w:qFormat/>
    <w:rsid w:val="00D72B87"/>
    <w:pPr>
      <w:numPr>
        <w:numId w:val="41"/>
      </w:numPr>
      <w:pBdr>
        <w:bottom w:val="single" w:sz="12" w:space="11" w:color="84286B"/>
      </w:pBdr>
      <w:spacing w:before="240" w:after="240" w:line="336" w:lineRule="auto"/>
      <w:jc w:val="left"/>
    </w:pPr>
    <w:rPr>
      <w:rFonts w:ascii="Montreal-Regular" w:eastAsiaTheme="minorHAnsi" w:hAnsi="Montreal-Regular" w:cs="Calibri"/>
      <w:color w:val="84286B"/>
      <w:spacing w:val="8"/>
      <w:sz w:val="48"/>
      <w:szCs w:val="22"/>
      <w:lang w:eastAsia="en-US"/>
    </w:rPr>
  </w:style>
  <w:style w:type="paragraph" w:customStyle="1" w:styleId="LPH2">
    <w:name w:val="LP H2"/>
    <w:basedOn w:val="Normal"/>
    <w:qFormat/>
    <w:rsid w:val="00D72B87"/>
    <w:pPr>
      <w:numPr>
        <w:ilvl w:val="1"/>
        <w:numId w:val="41"/>
      </w:numPr>
      <w:spacing w:after="240" w:line="336" w:lineRule="auto"/>
      <w:jc w:val="left"/>
    </w:pPr>
    <w:rPr>
      <w:rFonts w:ascii="Montreal-Regular" w:eastAsiaTheme="minorHAnsi" w:hAnsi="Montreal-Regular" w:cs="Calibri"/>
      <w:spacing w:val="8"/>
      <w:sz w:val="20"/>
      <w:szCs w:val="22"/>
      <w:lang w:eastAsia="en-US"/>
    </w:rPr>
  </w:style>
  <w:style w:type="paragraph" w:customStyle="1" w:styleId="LPH3">
    <w:name w:val="LP H3"/>
    <w:basedOn w:val="Normal"/>
    <w:qFormat/>
    <w:rsid w:val="00D72B87"/>
    <w:pPr>
      <w:numPr>
        <w:ilvl w:val="2"/>
        <w:numId w:val="41"/>
      </w:numPr>
      <w:spacing w:after="240" w:line="336" w:lineRule="auto"/>
      <w:jc w:val="left"/>
    </w:pPr>
    <w:rPr>
      <w:rFonts w:ascii="Montreal-Regular" w:eastAsiaTheme="minorHAnsi" w:hAnsi="Montreal-Regular" w:cs="Calibri"/>
      <w:spacing w:val="8"/>
      <w:sz w:val="20"/>
      <w:szCs w:val="22"/>
      <w:lang w:eastAsia="en-US"/>
    </w:rPr>
  </w:style>
  <w:style w:type="paragraph" w:customStyle="1" w:styleId="LPH-Map">
    <w:name w:val="LP H-Map"/>
    <w:basedOn w:val="LPH3"/>
    <w:next w:val="Normal"/>
    <w:qFormat/>
    <w:rsid w:val="00D72B87"/>
    <w:pPr>
      <w:numPr>
        <w:ilvl w:val="4"/>
      </w:numPr>
    </w:pPr>
    <w:rPr>
      <w:color w:val="84286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0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DB6A-551C-4849-AABF-CAA0F54AD94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CDF83C2-D925-4B3D-9794-577467E9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5395</Words>
  <Characters>28952</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The Planning Inspectorate</Company>
  <LinksUpToDate>false</LinksUpToDate>
  <CharactersWithSpaces>34279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tyson_a1</dc:creator>
  <cp:lastModifiedBy>David Butler</cp:lastModifiedBy>
  <cp:revision>2</cp:revision>
  <cp:lastPrinted>2017-10-09T14:14:00Z</cp:lastPrinted>
  <dcterms:created xsi:type="dcterms:W3CDTF">2017-10-31T10:25:00Z</dcterms:created>
  <dcterms:modified xsi:type="dcterms:W3CDTF">2017-10-31T10:25:00Z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9f33d141-b4c0-428d-814f-4d61b01ee89c</vt:lpwstr>
  </property>
  <property fmtid="{D5CDD505-2E9C-101B-9397-08002B2CF9AE}" pid="3" name="bjSaver">
    <vt:lpwstr>cOwEqo+ZOTsy5YZNBFd0r5p+hhnGMq6i</vt:lpwstr>
  </property>
  <property fmtid="{D5CDD505-2E9C-101B-9397-08002B2CF9AE}" pid="4" name="bjDocumentSecurityLabel">
    <vt:lpwstr>No Marking</vt:lpwstr>
  </property>
</Properties>
</file>