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12" w:rsidRDefault="00654712" w:rsidP="00654712">
      <w:pPr>
        <w:spacing w:before="40" w:after="40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APPENDIX 4</w:t>
      </w:r>
    </w:p>
    <w:p w:rsidR="00654712" w:rsidRDefault="00654712" w:rsidP="00654712">
      <w:pPr>
        <w:spacing w:before="40" w:after="40"/>
        <w:jc w:val="center"/>
        <w:rPr>
          <w:rFonts w:ascii="Verdana" w:hAnsi="Verdana"/>
          <w:b/>
        </w:rPr>
      </w:pPr>
    </w:p>
    <w:p w:rsidR="00654712" w:rsidRDefault="00654712" w:rsidP="00654712">
      <w:pPr>
        <w:spacing w:before="40" w:after="4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SCHEDULE OF CHANGES AND</w:t>
      </w:r>
    </w:p>
    <w:p w:rsidR="00654712" w:rsidRDefault="00654712" w:rsidP="00654712">
      <w:pPr>
        <w:spacing w:before="40" w:after="4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</w:t>
      </w:r>
    </w:p>
    <w:p w:rsidR="00654712" w:rsidRPr="00296F39" w:rsidRDefault="00654712" w:rsidP="00654712">
      <w:pPr>
        <w:spacing w:before="40" w:after="40"/>
        <w:jc w:val="center"/>
        <w:rPr>
          <w:rFonts w:ascii="Verdana" w:hAnsi="Verdana"/>
          <w:b/>
          <w:sz w:val="32"/>
          <w:szCs w:val="32"/>
        </w:rPr>
      </w:pPr>
      <w:r w:rsidRPr="00296F39">
        <w:rPr>
          <w:rFonts w:ascii="Verdana" w:hAnsi="Verdana"/>
          <w:b/>
          <w:sz w:val="32"/>
          <w:szCs w:val="32"/>
        </w:rPr>
        <w:t xml:space="preserve">EXTRACTS FROM LOCAL PLAN </w:t>
      </w:r>
    </w:p>
    <w:p w:rsidR="00654712" w:rsidRPr="00296F39" w:rsidRDefault="00654712" w:rsidP="00654712">
      <w:pPr>
        <w:spacing w:before="40" w:after="40"/>
        <w:jc w:val="center"/>
        <w:rPr>
          <w:rFonts w:ascii="Verdana" w:hAnsi="Verdana"/>
          <w:b/>
          <w:sz w:val="32"/>
          <w:szCs w:val="32"/>
        </w:rPr>
      </w:pPr>
    </w:p>
    <w:p w:rsidR="00654712" w:rsidRPr="00296F39" w:rsidRDefault="00654712" w:rsidP="00654712">
      <w:pPr>
        <w:spacing w:before="40" w:after="40"/>
        <w:jc w:val="center"/>
        <w:rPr>
          <w:rFonts w:ascii="Verdana" w:hAnsi="Verdana"/>
          <w:b/>
          <w:sz w:val="32"/>
          <w:szCs w:val="32"/>
        </w:rPr>
      </w:pPr>
      <w:r w:rsidRPr="00296F39">
        <w:rPr>
          <w:rFonts w:ascii="Verdana" w:hAnsi="Verdana"/>
          <w:b/>
          <w:sz w:val="32"/>
          <w:szCs w:val="32"/>
        </w:rPr>
        <w:t>POLICIES MAP</w:t>
      </w:r>
    </w:p>
    <w:p w:rsidR="00654712" w:rsidRDefault="00654712" w:rsidP="00654712">
      <w:pPr>
        <w:spacing w:before="40" w:after="40"/>
        <w:jc w:val="center"/>
        <w:rPr>
          <w:rFonts w:ascii="Verdana" w:hAnsi="Verdana"/>
          <w:b/>
        </w:rPr>
      </w:pPr>
    </w:p>
    <w:p w:rsidR="00654712" w:rsidRPr="00353232" w:rsidRDefault="00654712" w:rsidP="00654712">
      <w:pPr>
        <w:spacing w:before="40" w:after="40"/>
        <w:jc w:val="center"/>
        <w:rPr>
          <w:rFonts w:ascii="Verdana" w:hAnsi="Verdana"/>
          <w:b/>
        </w:rPr>
      </w:pPr>
      <w:r w:rsidRPr="00353232">
        <w:rPr>
          <w:rFonts w:ascii="Verdana" w:hAnsi="Verdana"/>
          <w:b/>
        </w:rPr>
        <w:t xml:space="preserve">Warwick District Local Plan: Schedule of Changes to Policies Map </w:t>
      </w:r>
      <w:r>
        <w:rPr>
          <w:rFonts w:ascii="Verdana" w:hAnsi="Verdana"/>
          <w:b/>
        </w:rPr>
        <w:t xml:space="preserve">- </w:t>
      </w:r>
      <w:r w:rsidRPr="00353232">
        <w:rPr>
          <w:rFonts w:ascii="Verdana" w:hAnsi="Verdana"/>
          <w:b/>
        </w:rPr>
        <w:t>March 2017</w:t>
      </w:r>
    </w:p>
    <w:p w:rsidR="00654712" w:rsidRPr="00353232" w:rsidRDefault="00654712" w:rsidP="00654712">
      <w:pPr>
        <w:spacing w:before="40" w:after="40"/>
        <w:rPr>
          <w:rFonts w:ascii="Verdana" w:hAnsi="Verdana"/>
        </w:rPr>
      </w:pPr>
    </w:p>
    <w:p w:rsidR="00654712" w:rsidRDefault="00654712" w:rsidP="00654712">
      <w:pPr>
        <w:spacing w:before="40" w:after="40"/>
        <w:rPr>
          <w:rFonts w:ascii="Verdana" w:hAnsi="Verdana"/>
        </w:rPr>
      </w:pPr>
      <w:r w:rsidRPr="00353232">
        <w:rPr>
          <w:rFonts w:ascii="Verdana" w:hAnsi="Verdana"/>
        </w:rPr>
        <w:t xml:space="preserve">The table below shows the modifications to the Policies map arising from the Main Modifications 2017 and other minor changes agreed through the Local Plan examination.  </w:t>
      </w:r>
    </w:p>
    <w:p w:rsidR="00654712" w:rsidRPr="00353232" w:rsidRDefault="00654712" w:rsidP="00654712">
      <w:pPr>
        <w:spacing w:before="40" w:after="40"/>
        <w:rPr>
          <w:rFonts w:ascii="Verdana" w:hAnsi="Verdana"/>
        </w:rPr>
      </w:pPr>
    </w:p>
    <w:p w:rsidR="00654712" w:rsidRDefault="00654712" w:rsidP="00654712">
      <w:pPr>
        <w:spacing w:before="40" w:after="40"/>
        <w:rPr>
          <w:rFonts w:ascii="Verdana" w:hAnsi="Verdana"/>
        </w:rPr>
      </w:pPr>
      <w:r w:rsidRPr="00353232">
        <w:rPr>
          <w:rFonts w:ascii="Verdana" w:hAnsi="Verdana"/>
        </w:rPr>
        <w:t xml:space="preserve">The table should be read in conjunction with the Schedule of Main Modifications and the Policies Map Extracts. </w:t>
      </w:r>
      <w:r>
        <w:rPr>
          <w:rFonts w:ascii="Verdana" w:hAnsi="Verdana"/>
        </w:rPr>
        <w:t>Changes to the various maps are not of themselves main modifications and the Inspector has not be treated them as such.</w:t>
      </w:r>
    </w:p>
    <w:p w:rsidR="00654712" w:rsidRPr="00353232" w:rsidRDefault="00654712" w:rsidP="00654712">
      <w:pPr>
        <w:spacing w:before="40" w:after="40"/>
        <w:rPr>
          <w:rFonts w:ascii="Verdana" w:hAnsi="Verdana"/>
        </w:rPr>
      </w:pPr>
    </w:p>
    <w:p w:rsidR="00654712" w:rsidRDefault="00654712" w:rsidP="00654712">
      <w:pPr>
        <w:spacing w:before="40" w:after="40"/>
        <w:rPr>
          <w:rFonts w:ascii="Verdana" w:hAnsi="Verdana"/>
        </w:rPr>
      </w:pPr>
      <w:r w:rsidRPr="00353232">
        <w:rPr>
          <w:rFonts w:ascii="Verdana" w:hAnsi="Verdana"/>
        </w:rPr>
        <w:t xml:space="preserve">The table sets out all the map changes that </w:t>
      </w:r>
      <w:r>
        <w:rPr>
          <w:rFonts w:ascii="Verdana" w:hAnsi="Verdana"/>
        </w:rPr>
        <w:t>required to support the main modifications</w:t>
      </w:r>
      <w:r w:rsidRPr="00353232">
        <w:rPr>
          <w:rFonts w:ascii="Verdana" w:hAnsi="Verdana"/>
        </w:rPr>
        <w:t>, showing the difference between the Submission Draft Local Plan (encompassing the 2014 Publication Draft and the 2014 Focused Changes) and the Plan as</w:t>
      </w:r>
      <w:r>
        <w:rPr>
          <w:rFonts w:ascii="Verdana" w:hAnsi="Verdana"/>
        </w:rPr>
        <w:t xml:space="preserve"> proposed for adoption (incorporating</w:t>
      </w:r>
      <w:r w:rsidRPr="00353232">
        <w:rPr>
          <w:rFonts w:ascii="Verdana" w:hAnsi="Verdana"/>
        </w:rPr>
        <w:t xml:space="preserve"> Main Modifications and minor</w:t>
      </w:r>
      <w:r>
        <w:rPr>
          <w:rFonts w:ascii="Verdana" w:hAnsi="Verdana"/>
        </w:rPr>
        <w:t xml:space="preserve"> modifications</w:t>
      </w:r>
      <w:r w:rsidR="00FB4318">
        <w:rPr>
          <w:rFonts w:ascii="Verdana" w:hAnsi="Verdana"/>
        </w:rPr>
        <w:t>)</w:t>
      </w:r>
      <w:r>
        <w:rPr>
          <w:rFonts w:ascii="Verdana" w:hAnsi="Verdana"/>
        </w:rPr>
        <w:t xml:space="preserve">. </w:t>
      </w:r>
    </w:p>
    <w:p w:rsidR="00654712" w:rsidRPr="00353232" w:rsidRDefault="00654712" w:rsidP="00654712">
      <w:pPr>
        <w:spacing w:before="40" w:after="40"/>
        <w:rPr>
          <w:rFonts w:ascii="Verdana" w:hAnsi="Verdana"/>
        </w:rPr>
      </w:pPr>
    </w:p>
    <w:p w:rsidR="00356523" w:rsidRDefault="00654712" w:rsidP="00654712">
      <w:pPr>
        <w:spacing w:before="40" w:after="40"/>
        <w:rPr>
          <w:rFonts w:ascii="Verdana" w:hAnsi="Verdana"/>
        </w:rPr>
      </w:pPr>
      <w:r w:rsidRPr="00215303">
        <w:rPr>
          <w:rFonts w:ascii="Verdana" w:hAnsi="Verdana"/>
        </w:rPr>
        <w:t xml:space="preserve">The map extracts referred to in the “2017 Modifications maps” column only show the elements that have changed along with other related information.  Where </w:t>
      </w:r>
      <w:r>
        <w:rPr>
          <w:rFonts w:ascii="Verdana" w:hAnsi="Verdana"/>
        </w:rPr>
        <w:t xml:space="preserve">map extracts are not referred to in the schedule, this is because they have not been amended since the 2015 Submission Draft.  </w:t>
      </w:r>
    </w:p>
    <w:p w:rsidR="00654712" w:rsidRDefault="00356523" w:rsidP="00654712">
      <w:pPr>
        <w:spacing w:before="40" w:after="40"/>
        <w:rPr>
          <w:b/>
        </w:rPr>
      </w:pPr>
      <w:r>
        <w:rPr>
          <w:rFonts w:ascii="Verdana" w:hAnsi="Verdana"/>
        </w:rPr>
        <w:t xml:space="preserve">Amendments to the HS2 Safeguarding Direction appear on a number of maps. To avoid repetition, these are </w:t>
      </w:r>
      <w:proofErr w:type="spellStart"/>
      <w:r>
        <w:rPr>
          <w:rFonts w:ascii="Verdana" w:hAnsi="Verdana"/>
        </w:rPr>
        <w:t>are</w:t>
      </w:r>
      <w:proofErr w:type="spellEnd"/>
      <w:r>
        <w:rPr>
          <w:rFonts w:ascii="Verdana" w:hAnsi="Verdana"/>
        </w:rPr>
        <w:t xml:space="preserve"> not specifically referenced in the schedule below</w:t>
      </w:r>
      <w:r w:rsidR="00654712">
        <w:rPr>
          <w:b/>
        </w:rPr>
        <w:br w:type="page"/>
      </w:r>
    </w:p>
    <w:p w:rsidR="00654712" w:rsidRPr="00353232" w:rsidRDefault="00654712" w:rsidP="00654712">
      <w:pPr>
        <w:rPr>
          <w:rFonts w:ascii="Verdana" w:hAnsi="Verdana"/>
          <w:b/>
        </w:rPr>
      </w:pPr>
      <w:r w:rsidRPr="00353232">
        <w:rPr>
          <w:rFonts w:ascii="Verdana" w:hAnsi="Verdana"/>
          <w:b/>
        </w:rPr>
        <w:lastRenderedPageBreak/>
        <w:t>Schedule of changes to Policies Map 2017</w:t>
      </w:r>
    </w:p>
    <w:tbl>
      <w:tblPr>
        <w:tblStyle w:val="TableGrid"/>
        <w:tblW w:w="14708" w:type="dxa"/>
        <w:tblLayout w:type="fixed"/>
        <w:tblLook w:val="04A0" w:firstRow="1" w:lastRow="0" w:firstColumn="1" w:lastColumn="0" w:noHBand="0" w:noVBand="1"/>
      </w:tblPr>
      <w:tblGrid>
        <w:gridCol w:w="3030"/>
        <w:gridCol w:w="3031"/>
        <w:gridCol w:w="1135"/>
        <w:gridCol w:w="7512"/>
      </w:tblGrid>
      <w:tr w:rsidR="00654712" w:rsidRPr="00353232" w:rsidTr="00A41CA7">
        <w:trPr>
          <w:tblHeader/>
        </w:trPr>
        <w:tc>
          <w:tcPr>
            <w:tcW w:w="3030" w:type="dxa"/>
            <w:tcBorders>
              <w:bottom w:val="single" w:sz="4" w:space="0" w:color="auto"/>
            </w:tcBorders>
          </w:tcPr>
          <w:p w:rsidR="00654712" w:rsidRPr="00353232" w:rsidRDefault="00654712" w:rsidP="00A41CA7">
            <w:pPr>
              <w:spacing w:before="40" w:after="4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53232">
              <w:rPr>
                <w:rFonts w:ascii="Verdana" w:hAnsi="Verdana"/>
                <w:b/>
                <w:sz w:val="20"/>
                <w:szCs w:val="20"/>
              </w:rPr>
              <w:t>2017 Modification maps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654712" w:rsidRPr="00353232" w:rsidRDefault="00654712" w:rsidP="00A41CA7">
            <w:pPr>
              <w:spacing w:before="40" w:after="4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53232">
              <w:rPr>
                <w:rFonts w:ascii="Verdana" w:hAnsi="Verdana"/>
                <w:b/>
                <w:sz w:val="20"/>
                <w:szCs w:val="20"/>
              </w:rPr>
              <w:t>Corresponding map extract in the April 2014 Publication draft (or the Focussed Changes 2014 as appropriate)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54712" w:rsidRPr="00353232" w:rsidRDefault="00654712" w:rsidP="00A41CA7">
            <w:pPr>
              <w:spacing w:before="40" w:after="4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353232">
              <w:rPr>
                <w:rFonts w:ascii="Verdana" w:hAnsi="Verdana"/>
                <w:b/>
                <w:sz w:val="20"/>
                <w:szCs w:val="20"/>
              </w:rPr>
              <w:t>Policy number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B4318" w:rsidRDefault="00654712" w:rsidP="00FB4318">
            <w:pPr>
              <w:spacing w:before="40" w:after="4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53232">
              <w:rPr>
                <w:rFonts w:ascii="Verdana" w:hAnsi="Verdana"/>
                <w:b/>
                <w:sz w:val="20"/>
                <w:szCs w:val="20"/>
              </w:rPr>
              <w:t>Changes made</w:t>
            </w:r>
            <w:r w:rsidR="00FB431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654712" w:rsidRPr="00FB4318" w:rsidRDefault="00FB4318" w:rsidP="00FB4318">
            <w:pPr>
              <w:spacing w:before="40" w:after="4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FB4318">
              <w:rPr>
                <w:rFonts w:ascii="Verdana" w:hAnsi="Verdana"/>
                <w:sz w:val="20"/>
                <w:szCs w:val="20"/>
              </w:rPr>
              <w:t>(between Submission Draft Local Plan 2015 and the Local Plan as proposed for adoption 2017)</w:t>
            </w:r>
          </w:p>
        </w:tc>
      </w:tr>
      <w:tr w:rsidR="00621141" w:rsidRPr="00353232" w:rsidTr="00A41CA7">
        <w:tc>
          <w:tcPr>
            <w:tcW w:w="3030" w:type="dxa"/>
          </w:tcPr>
          <w:p w:rsidR="00621141" w:rsidRPr="00621141" w:rsidRDefault="00621141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141">
              <w:rPr>
                <w:rFonts w:ascii="Verdana" w:hAnsi="Verdana"/>
                <w:sz w:val="20"/>
                <w:szCs w:val="20"/>
              </w:rPr>
              <w:t>1. District Wide</w:t>
            </w:r>
          </w:p>
        </w:tc>
        <w:tc>
          <w:tcPr>
            <w:tcW w:w="3031" w:type="dxa"/>
          </w:tcPr>
          <w:p w:rsidR="00621141" w:rsidRPr="00621141" w:rsidRDefault="00621141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141">
              <w:rPr>
                <w:rFonts w:ascii="Verdana" w:hAnsi="Verdana"/>
                <w:sz w:val="20"/>
                <w:szCs w:val="20"/>
              </w:rPr>
              <w:t>1. District Wide</w:t>
            </w:r>
          </w:p>
        </w:tc>
        <w:tc>
          <w:tcPr>
            <w:tcW w:w="1135" w:type="dxa"/>
          </w:tcPr>
          <w:p w:rsidR="00621141" w:rsidRPr="00621141" w:rsidRDefault="00621141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141">
              <w:rPr>
                <w:rFonts w:ascii="Verdana" w:hAnsi="Verdana"/>
                <w:sz w:val="20"/>
                <w:szCs w:val="20"/>
              </w:rPr>
              <w:t>All</w:t>
            </w:r>
          </w:p>
        </w:tc>
        <w:tc>
          <w:tcPr>
            <w:tcW w:w="7512" w:type="dxa"/>
          </w:tcPr>
          <w:p w:rsidR="00621141" w:rsidRPr="00621141" w:rsidRDefault="00621141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621141">
              <w:rPr>
                <w:rFonts w:ascii="Verdana" w:hAnsi="Verdana"/>
                <w:sz w:val="20"/>
                <w:szCs w:val="20"/>
              </w:rPr>
              <w:t>Various changes as detailed in schedule below</w:t>
            </w:r>
          </w:p>
        </w:tc>
      </w:tr>
      <w:tr w:rsidR="005F253B" w:rsidRPr="00353232" w:rsidTr="00A41CA7">
        <w:tc>
          <w:tcPr>
            <w:tcW w:w="3030" w:type="dxa"/>
            <w:vMerge w:val="restart"/>
          </w:tcPr>
          <w:p w:rsidR="005F253B" w:rsidRPr="00353232" w:rsidRDefault="005F253B" w:rsidP="00621141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2. Leamington, Warwick and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Whitnash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vMerge w:val="restart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2. Leamington, Warwick and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Whitnash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(as amended by the Focused Changes 2014)</w:t>
            </w: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DS13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Country Park boundary 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urban area boundary to exclude extent of Country Park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following included as housing allocations: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H46A Gallows Hill</w:t>
            </w:r>
          </w:p>
          <w:p w:rsidR="005F253B" w:rsidRDefault="005F253B" w:rsidP="00A41CA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H46B The Asps 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H45 Hazelmere and Little Acre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5F253B" w:rsidRDefault="005F253B" w:rsidP="00621141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urban area boundary to </w:t>
            </w:r>
            <w:r>
              <w:rPr>
                <w:rFonts w:ascii="Verdana" w:hAnsi="Verdana"/>
                <w:sz w:val="20"/>
                <w:szCs w:val="20"/>
              </w:rPr>
              <w:t>include</w:t>
            </w:r>
          </w:p>
          <w:p w:rsidR="005F253B" w:rsidRPr="00353232" w:rsidRDefault="005F253B" w:rsidP="0062114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H46A Gallows Hill</w:t>
            </w:r>
          </w:p>
          <w:p w:rsidR="005F253B" w:rsidRDefault="005F253B" w:rsidP="0062114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H46B The Asps </w:t>
            </w:r>
          </w:p>
          <w:p w:rsidR="005F253B" w:rsidRPr="00621141" w:rsidRDefault="005F253B" w:rsidP="00621141">
            <w:pPr>
              <w:pStyle w:val="ListParagraph"/>
              <w:numPr>
                <w:ilvl w:val="0"/>
                <w:numId w:val="7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621141">
              <w:rPr>
                <w:rFonts w:ascii="Verdana" w:hAnsi="Verdana"/>
                <w:sz w:val="20"/>
                <w:szCs w:val="20"/>
              </w:rPr>
              <w:t>H45 Hazelmere and Little Acre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following included as a Major Housing Commitment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Land north of Gallows Hill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DS9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Removed three small employment allocations at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Tachbrook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Park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TR5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Park and ride areas of search</w:t>
            </w:r>
            <w:r>
              <w:rPr>
                <w:rFonts w:ascii="Verdana" w:hAnsi="Verdana"/>
                <w:sz w:val="20"/>
                <w:szCs w:val="20"/>
              </w:rPr>
              <w:t xml:space="preserve"> to south of Warwick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deleted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5758B2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DS12</w:t>
            </w:r>
          </w:p>
        </w:tc>
        <w:tc>
          <w:tcPr>
            <w:tcW w:w="7512" w:type="dxa"/>
          </w:tcPr>
          <w:p w:rsidR="005F253B" w:rsidRPr="00353232" w:rsidRDefault="005F253B" w:rsidP="005758B2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education allocation 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D435A6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D435A6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Removed housing allocation H04 – Red House Farm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D435A6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5F253B" w:rsidRPr="00353232" w:rsidRDefault="005F253B" w:rsidP="00D435A6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urban area boundary to exclude: </w:t>
            </w:r>
          </w:p>
          <w:p w:rsidR="005F253B" w:rsidRPr="00353232" w:rsidRDefault="005F253B" w:rsidP="00D435A6">
            <w:pPr>
              <w:pStyle w:val="ListParagraph"/>
              <w:numPr>
                <w:ilvl w:val="0"/>
                <w:numId w:val="9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H04 – Red House Farm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D435A6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5F253B" w:rsidRPr="00353232" w:rsidRDefault="005F253B" w:rsidP="00D435A6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Green Belt boundary to reinstate area of H04 into the Green Belt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Removed site H39, Opus 40, from housing allocations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Include site H39, Opus 40, as a Major Housing Commitment 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277298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277298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Amendments to housing allocations at Hatton Park, Hampton Magna Leek Wootton and Radford Semele (see details in schedule below)</w:t>
            </w:r>
          </w:p>
        </w:tc>
      </w:tr>
      <w:tr w:rsidR="005F253B" w:rsidRPr="00353232" w:rsidTr="00A41CA7">
        <w:tc>
          <w:tcPr>
            <w:tcW w:w="3030" w:type="dxa"/>
            <w:vMerge w:val="restart"/>
          </w:tcPr>
          <w:p w:rsidR="005F253B" w:rsidRPr="00353232" w:rsidRDefault="005F253B" w:rsidP="005F253B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3. Leamington</w:t>
            </w:r>
            <w:r>
              <w:rPr>
                <w:rFonts w:ascii="Verdana" w:hAnsi="Verdana"/>
                <w:sz w:val="20"/>
                <w:szCs w:val="20"/>
              </w:rPr>
              <w:t xml:space="preserve"> Town Centre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vMerge w:val="restart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3. Leamington Town Centre</w:t>
            </w: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Deleted housing allocations for: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H10 Station Approach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H13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Soans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site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H15 Leamington Fire Station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5F253B" w:rsidRPr="0086410F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86410F">
              <w:rPr>
                <w:rFonts w:ascii="Verdana" w:hAnsi="Verdana"/>
                <w:sz w:val="20"/>
                <w:szCs w:val="20"/>
              </w:rPr>
              <w:t>Included the following sites as “Major Housing commitments”</w:t>
            </w:r>
          </w:p>
          <w:p w:rsidR="005F253B" w:rsidRPr="0086410F" w:rsidRDefault="005F253B" w:rsidP="00A41CA7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6410F">
              <w:rPr>
                <w:rFonts w:ascii="Verdana" w:hAnsi="Verdana"/>
                <w:sz w:val="20"/>
                <w:szCs w:val="20"/>
              </w:rPr>
              <w:t>H10 Station Approach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2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86410F">
              <w:rPr>
                <w:rFonts w:ascii="Verdana" w:hAnsi="Verdana"/>
                <w:sz w:val="20"/>
                <w:szCs w:val="20"/>
              </w:rPr>
              <w:t xml:space="preserve">H13 </w:t>
            </w:r>
            <w:proofErr w:type="spellStart"/>
            <w:r w:rsidRPr="0086410F">
              <w:rPr>
                <w:rFonts w:ascii="Verdana" w:hAnsi="Verdana"/>
                <w:sz w:val="20"/>
                <w:szCs w:val="20"/>
              </w:rPr>
              <w:t>Soans</w:t>
            </w:r>
            <w:proofErr w:type="spellEnd"/>
            <w:r w:rsidRPr="0086410F">
              <w:rPr>
                <w:rFonts w:ascii="Verdana" w:hAnsi="Verdana"/>
                <w:sz w:val="20"/>
                <w:szCs w:val="20"/>
              </w:rPr>
              <w:t xml:space="preserve"> site</w:t>
            </w:r>
          </w:p>
        </w:tc>
      </w:tr>
      <w:tr w:rsidR="005F253B" w:rsidRPr="00353232" w:rsidTr="00A41CA7">
        <w:tc>
          <w:tcPr>
            <w:tcW w:w="3030" w:type="dxa"/>
            <w:vMerge w:val="restart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5. Kenilworth</w:t>
            </w:r>
          </w:p>
        </w:tc>
        <w:tc>
          <w:tcPr>
            <w:tcW w:w="3031" w:type="dxa"/>
            <w:vMerge w:val="restart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5. Kenilworth</w:t>
            </w: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Added the following housing allocations: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10"/>
              </w:numPr>
              <w:spacing w:before="40" w:after="40" w:line="276" w:lineRule="auto"/>
              <w:ind w:left="318" w:hanging="3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H40 Crewe Lane,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Southcrest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Farm and Woodside Training centre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10"/>
              </w:numPr>
              <w:spacing w:before="40" w:after="40" w:line="276" w:lineRule="auto"/>
              <w:ind w:left="318" w:hanging="3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H41 East of Warwick Road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the Urban Area Boundary to include additional housing allocations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B64219" w:rsidRPr="00353232" w:rsidRDefault="00B64219" w:rsidP="00B6421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</w:t>
            </w:r>
            <w:r>
              <w:rPr>
                <w:rFonts w:ascii="Verdana" w:hAnsi="Verdana"/>
                <w:sz w:val="20"/>
                <w:szCs w:val="20"/>
              </w:rPr>
              <w:t>Green Belt boundary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to take account of </w:t>
            </w:r>
            <w:r>
              <w:rPr>
                <w:rFonts w:ascii="Verdana" w:hAnsi="Verdana"/>
                <w:sz w:val="20"/>
                <w:szCs w:val="20"/>
              </w:rPr>
              <w:t xml:space="preserve">additional housing </w:t>
            </w:r>
            <w:r w:rsidRPr="00353232">
              <w:rPr>
                <w:rFonts w:ascii="Verdana" w:hAnsi="Verdana"/>
                <w:sz w:val="20"/>
                <w:szCs w:val="20"/>
              </w:rPr>
              <w:t>allocation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</w:p>
        </w:tc>
      </w:tr>
      <w:tr w:rsidR="005F253B" w:rsidRPr="00353232" w:rsidTr="00A41CA7">
        <w:tc>
          <w:tcPr>
            <w:tcW w:w="3030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DSNEW4</w:t>
            </w:r>
          </w:p>
        </w:tc>
        <w:tc>
          <w:tcPr>
            <w:tcW w:w="7512" w:type="dxa"/>
          </w:tcPr>
          <w:p w:rsidR="005F253B" w:rsidRPr="00353232" w:rsidRDefault="005F253B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Added the following outdoor sports allocations: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left="318" w:hanging="283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SP1 Land at Castle Farm</w:t>
            </w:r>
          </w:p>
          <w:p w:rsidR="005F253B" w:rsidRPr="00353232" w:rsidRDefault="005F253B" w:rsidP="00A41CA7">
            <w:pPr>
              <w:pStyle w:val="ListParagraph"/>
              <w:numPr>
                <w:ilvl w:val="0"/>
                <w:numId w:val="11"/>
              </w:numPr>
              <w:spacing w:before="40" w:after="40" w:line="276" w:lineRule="auto"/>
              <w:ind w:left="318" w:hanging="283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SP2 Land at Warwick Road</w:t>
            </w:r>
          </w:p>
        </w:tc>
      </w:tr>
      <w:tr w:rsidR="00356523" w:rsidRPr="00353232" w:rsidTr="00A41CA7">
        <w:tc>
          <w:tcPr>
            <w:tcW w:w="3030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 Kenilworth Town Centre</w:t>
            </w:r>
          </w:p>
        </w:tc>
        <w:tc>
          <w:tcPr>
            <w:tcW w:w="3031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5a Kenilworth Town Centre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TC2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Minor amendment to Retail Area boundary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Burton Green</w:t>
            </w:r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 Burton Green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Amended Growth Village Envelope boundary to exclude land at Burton Green Farm. 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Default="00356523" w:rsidP="00C65926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Default="00356523" w:rsidP="00C65926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Site H42 shown (see Extract 33 for details)</w:t>
            </w:r>
          </w:p>
        </w:tc>
      </w:tr>
      <w:tr w:rsidR="00356523" w:rsidRPr="00353232" w:rsidTr="00A41CA7">
        <w:tc>
          <w:tcPr>
            <w:tcW w:w="3030" w:type="dxa"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University of Warwick</w:t>
            </w:r>
          </w:p>
        </w:tc>
        <w:tc>
          <w:tcPr>
            <w:tcW w:w="3031" w:type="dxa"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University of Warwick</w:t>
            </w:r>
          </w:p>
        </w:tc>
        <w:tc>
          <w:tcPr>
            <w:tcW w:w="1135" w:type="dxa"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DSNEW2</w:t>
            </w:r>
          </w:p>
        </w:tc>
        <w:tc>
          <w:tcPr>
            <w:tcW w:w="7512" w:type="dxa"/>
          </w:tcPr>
          <w:p w:rsidR="00356523" w:rsidRDefault="00356523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Safeguarded Land S1 shown (see Extract 33 for details)</w:t>
            </w:r>
          </w:p>
        </w:tc>
      </w:tr>
      <w:tr w:rsidR="00B64219" w:rsidRPr="00353232" w:rsidTr="00A41CA7">
        <w:tc>
          <w:tcPr>
            <w:tcW w:w="3030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Baginton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Bubbenhall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and Coventry Airport</w:t>
            </w:r>
          </w:p>
        </w:tc>
        <w:tc>
          <w:tcPr>
            <w:tcW w:w="3031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Baginton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Bubbenhall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and Coventry Airport</w:t>
            </w: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Extended the housing allocation at the following site:</w:t>
            </w:r>
          </w:p>
          <w:p w:rsidR="00B64219" w:rsidRPr="00353232" w:rsidRDefault="00B64219" w:rsidP="00A41CA7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spacing w:before="40" w:after="40" w:line="276" w:lineRule="auto"/>
              <w:ind w:hanging="685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H19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Rosswood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Farm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Growth Village Envelope for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Baginton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to reflect the extension of H19.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B64219" w:rsidRPr="00353232" w:rsidRDefault="00B64219" w:rsidP="00B6421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Growth Village Envelope to take account of </w:t>
            </w:r>
            <w:r>
              <w:rPr>
                <w:rFonts w:ascii="Verdana" w:hAnsi="Verdana"/>
                <w:sz w:val="20"/>
                <w:szCs w:val="20"/>
              </w:rPr>
              <w:t xml:space="preserve">extended </w:t>
            </w:r>
            <w:r w:rsidRPr="00353232">
              <w:rPr>
                <w:rFonts w:ascii="Verdana" w:hAnsi="Verdana"/>
                <w:sz w:val="20"/>
                <w:szCs w:val="20"/>
              </w:rPr>
              <w:t>allocation H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Rosswood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Farm</w:t>
            </w:r>
          </w:p>
        </w:tc>
      </w:tr>
      <w:tr w:rsidR="00356523" w:rsidRPr="00353232" w:rsidTr="00A41CA7">
        <w:tc>
          <w:tcPr>
            <w:tcW w:w="3030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9. Stoneleigh</w:t>
            </w:r>
          </w:p>
        </w:tc>
        <w:tc>
          <w:tcPr>
            <w:tcW w:w="3031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9. Stoneleigh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MS2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Stoneleigh Deer Park deleted as a “Major Site in the Green Belt” (but retained as a Major Employment Commitment - EC3)</w:t>
            </w:r>
          </w:p>
        </w:tc>
      </w:tr>
      <w:tr w:rsidR="00356523" w:rsidRPr="00353232" w:rsidTr="00A41CA7">
        <w:tc>
          <w:tcPr>
            <w:tcW w:w="3030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11.  Weston under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Wetherley</w:t>
            </w:r>
            <w:proofErr w:type="spellEnd"/>
          </w:p>
        </w:tc>
        <w:tc>
          <w:tcPr>
            <w:tcW w:w="3031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11. Weston under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Wetherley</w:t>
            </w:r>
            <w:proofErr w:type="spellEnd"/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Limited Infill Village boundary</w:t>
            </w:r>
          </w:p>
        </w:tc>
      </w:tr>
      <w:tr w:rsidR="003C4E39" w:rsidRPr="00353232" w:rsidTr="00A41CA7">
        <w:tc>
          <w:tcPr>
            <w:tcW w:w="3030" w:type="dxa"/>
            <w:vMerge w:val="restart"/>
          </w:tcPr>
          <w:p w:rsidR="003C4E39" w:rsidRPr="00353232" w:rsidRDefault="003C4E3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12. Leek Wootton</w:t>
            </w:r>
          </w:p>
        </w:tc>
        <w:tc>
          <w:tcPr>
            <w:tcW w:w="3031" w:type="dxa"/>
            <w:vMerge w:val="restart"/>
          </w:tcPr>
          <w:p w:rsidR="003C4E39" w:rsidRPr="00353232" w:rsidRDefault="003C4E3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12. Leek Wootton, Hill Wootton, Old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Milverton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and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Blackdown</w:t>
            </w:r>
            <w:proofErr w:type="spellEnd"/>
          </w:p>
        </w:tc>
        <w:tc>
          <w:tcPr>
            <w:tcW w:w="1135" w:type="dxa"/>
          </w:tcPr>
          <w:p w:rsidR="003C4E39" w:rsidRPr="00353232" w:rsidRDefault="003C4E3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DSNEW3 / DS11</w:t>
            </w:r>
          </w:p>
        </w:tc>
        <w:tc>
          <w:tcPr>
            <w:tcW w:w="7512" w:type="dxa"/>
          </w:tcPr>
          <w:p w:rsidR="003C4E39" w:rsidRPr="00353232" w:rsidRDefault="003C4E3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the Former Police HQ site (DSNEW3) as a housing allocation to be brought forward in line with Policy DSNEW3</w:t>
            </w:r>
          </w:p>
          <w:p w:rsidR="003C4E39" w:rsidRPr="00353232" w:rsidRDefault="003C4E3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This new allocation therefore supersedes the following former Housing Allocations:</w:t>
            </w:r>
          </w:p>
          <w:p w:rsidR="003C4E39" w:rsidRPr="00353232" w:rsidRDefault="003C4E39" w:rsidP="00A41CA7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H34 The Paddock</w:t>
            </w:r>
          </w:p>
          <w:p w:rsidR="003C4E39" w:rsidRPr="00353232" w:rsidRDefault="003C4E39" w:rsidP="00A41CA7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H35 East of Broome Close</w:t>
            </w:r>
          </w:p>
          <w:p w:rsidR="003C4E39" w:rsidRPr="00353232" w:rsidRDefault="003C4E39" w:rsidP="00A41CA7">
            <w:pPr>
              <w:pStyle w:val="ListParagraph"/>
              <w:numPr>
                <w:ilvl w:val="0"/>
                <w:numId w:val="3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H36 Former Tennis Courts</w:t>
            </w:r>
          </w:p>
        </w:tc>
      </w:tr>
      <w:tr w:rsidR="003C4E39" w:rsidRPr="00353232" w:rsidTr="00A41CA7">
        <w:tc>
          <w:tcPr>
            <w:tcW w:w="3030" w:type="dxa"/>
            <w:vMerge/>
          </w:tcPr>
          <w:p w:rsidR="003C4E39" w:rsidRPr="00353232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C4E39" w:rsidRPr="00353232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C4E39" w:rsidRPr="00353232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C4E39" w:rsidRPr="00353232" w:rsidRDefault="003C4E39" w:rsidP="003C4E3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Growth Village Envelope for </w:t>
            </w:r>
            <w:r>
              <w:rPr>
                <w:rFonts w:ascii="Verdana" w:hAnsi="Verdana"/>
                <w:sz w:val="20"/>
                <w:szCs w:val="20"/>
              </w:rPr>
              <w:t>Leek Wootton to reflect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DSNEW3</w:t>
            </w:r>
          </w:p>
        </w:tc>
      </w:tr>
      <w:tr w:rsidR="003C4E39" w:rsidRPr="00353232" w:rsidTr="00A41CA7">
        <w:tc>
          <w:tcPr>
            <w:tcW w:w="3030" w:type="dxa"/>
            <w:vMerge/>
          </w:tcPr>
          <w:p w:rsidR="003C4E39" w:rsidRPr="00353232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C4E39" w:rsidRPr="00353232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C4E39" w:rsidRDefault="003C4E3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DSNEW4</w:t>
            </w:r>
          </w:p>
        </w:tc>
        <w:tc>
          <w:tcPr>
            <w:tcW w:w="7512" w:type="dxa"/>
          </w:tcPr>
          <w:p w:rsidR="003C4E39" w:rsidRPr="00353232" w:rsidRDefault="003C4E39" w:rsidP="003C4E3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Outdoor Sports allocations shown. See map extract 5 for details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15. Radford Semele</w:t>
            </w:r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15. Radford Semele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the following sites as major housing commitments: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at Spring Lane 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lastRenderedPageBreak/>
              <w:t xml:space="preserve">Land south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Offchurch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Lane 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north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Southam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Road (formerly identified as allocation H38)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Deleted the following housing allocation (now a commitment):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5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H38 Land north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Southam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Road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Growth Village Boundary to include the following sites with planning permission: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Land at Spring Lane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south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Offchurch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Lane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4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west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Southam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Road </w:t>
            </w:r>
          </w:p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Growth Village Boundary to exclude: 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14"/>
              </w:numPr>
              <w:spacing w:before="40" w:after="40" w:line="276" w:lineRule="auto"/>
              <w:ind w:left="318" w:hanging="318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Land on the east side of The Valley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16. Bishops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Tachbrook</w:t>
            </w:r>
            <w:proofErr w:type="spellEnd"/>
          </w:p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16. Bishops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Tachbrook</w:t>
            </w:r>
            <w:proofErr w:type="spellEnd"/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Deleted the following allocation: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H23 Land south of the school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site H49 Land at Seven Acre Close as a Housing Allocation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the following sites as major housing commitments: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H23 Land south of the school (as amended by planning application)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Growth Village Boundary to include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Site H49 Seven Acre Close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allotment land adjacent to site H23</w:t>
            </w:r>
          </w:p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the Growth Village Boundary to reflect exact extent of site with planning permission for site H23 Land south of the school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18.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Barford</w:t>
            </w:r>
            <w:proofErr w:type="spellEnd"/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18.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Barford</w:t>
            </w:r>
            <w:proofErr w:type="spellEnd"/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Deleted the following allocation: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H21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Sherbourne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Nursery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DS7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the following sites as major housing commitments: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H21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Sherbourne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Nursery</w:t>
            </w:r>
          </w:p>
        </w:tc>
      </w:tr>
      <w:tr w:rsidR="00356523" w:rsidRPr="00353232" w:rsidTr="00A41CA7">
        <w:trPr>
          <w:trHeight w:val="64"/>
        </w:trPr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Included the following housing allocation: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H48 Land south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Westham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Lane</w:t>
            </w:r>
          </w:p>
        </w:tc>
      </w:tr>
      <w:tr w:rsidR="00356523" w:rsidRPr="00353232" w:rsidTr="00A41CA7">
        <w:trPr>
          <w:trHeight w:val="64"/>
        </w:trPr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Growth Village Boundary to include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west of Bridge Street and Wilkins Close 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Land west of Mill Lane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Land south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Westham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Lane (Site H48 and land to west of H48)</w:t>
            </w:r>
          </w:p>
        </w:tc>
      </w:tr>
      <w:tr w:rsidR="00356523" w:rsidRPr="00353232" w:rsidTr="00A41CA7">
        <w:trPr>
          <w:trHeight w:val="64"/>
        </w:trPr>
        <w:tc>
          <w:tcPr>
            <w:tcW w:w="3030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19.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Sherbourne</w:t>
            </w:r>
            <w:proofErr w:type="spellEnd"/>
          </w:p>
        </w:tc>
        <w:tc>
          <w:tcPr>
            <w:tcW w:w="3031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19.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Sherbourne</w:t>
            </w:r>
            <w:proofErr w:type="spellEnd"/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Infill Village Boundary at north-east corner of village and at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Sherbourne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Farm</w:t>
            </w:r>
          </w:p>
        </w:tc>
      </w:tr>
      <w:tr w:rsidR="00B64219" w:rsidRPr="00353232" w:rsidTr="00A41CA7">
        <w:trPr>
          <w:trHeight w:val="64"/>
        </w:trPr>
        <w:tc>
          <w:tcPr>
            <w:tcW w:w="3030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20.  Hampton Magna</w:t>
            </w:r>
            <w:r>
              <w:rPr>
                <w:rFonts w:ascii="Verdana" w:hAnsi="Verdana"/>
                <w:sz w:val="20"/>
                <w:szCs w:val="20"/>
              </w:rPr>
              <w:t xml:space="preserve"> and Hampton on the Hill</w:t>
            </w:r>
          </w:p>
        </w:tc>
        <w:tc>
          <w:tcPr>
            <w:tcW w:w="3031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20. Hampton Magna</w:t>
            </w:r>
            <w:r>
              <w:rPr>
                <w:rFonts w:ascii="Verdana" w:hAnsi="Verdana"/>
                <w:sz w:val="20"/>
                <w:szCs w:val="20"/>
              </w:rPr>
              <w:t xml:space="preserve"> and Hampton on the Hill</w:t>
            </w: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Added as a housing allocation:</w:t>
            </w:r>
          </w:p>
          <w:p w:rsidR="00B64219" w:rsidRPr="00353232" w:rsidRDefault="00B64219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H51 Lloyd Close</w:t>
            </w:r>
          </w:p>
        </w:tc>
      </w:tr>
      <w:tr w:rsidR="00B64219" w:rsidRPr="00353232" w:rsidTr="00A41CA7">
        <w:trPr>
          <w:trHeight w:val="64"/>
        </w:trPr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the Growth Village Envelope to take account of allocation H51 at Lloyd Close.</w:t>
            </w:r>
          </w:p>
        </w:tc>
      </w:tr>
      <w:tr w:rsidR="00B64219" w:rsidRPr="00353232" w:rsidTr="00A41CA7">
        <w:trPr>
          <w:trHeight w:val="64"/>
        </w:trPr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B64219" w:rsidRPr="00353232" w:rsidRDefault="00B64219" w:rsidP="003C4E3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</w:t>
            </w:r>
            <w:r>
              <w:rPr>
                <w:rFonts w:ascii="Verdana" w:hAnsi="Verdana"/>
                <w:sz w:val="20"/>
                <w:szCs w:val="20"/>
              </w:rPr>
              <w:t>Green Belt boundary to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exclude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site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H51 at Lloyd Close</w:t>
            </w:r>
          </w:p>
        </w:tc>
      </w:tr>
      <w:tr w:rsidR="00B64219" w:rsidRPr="00353232" w:rsidTr="00A41CA7">
        <w:tc>
          <w:tcPr>
            <w:tcW w:w="3030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21. Hatton Park</w:t>
            </w:r>
          </w:p>
        </w:tc>
        <w:tc>
          <w:tcPr>
            <w:tcW w:w="3031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21. Hatton Park</w:t>
            </w: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the site boundary of the following housing allocation:</w:t>
            </w:r>
          </w:p>
          <w:p w:rsidR="00B64219" w:rsidRPr="00353232" w:rsidRDefault="00B64219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H28 north of Birmingham Road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Growth Village Envelope in line with the change to site H28 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512" w:type="dxa"/>
          </w:tcPr>
          <w:p w:rsidR="00B64219" w:rsidRPr="00353232" w:rsidRDefault="00B64219" w:rsidP="00B6421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Amended the </w:t>
            </w:r>
            <w:r>
              <w:rPr>
                <w:rFonts w:ascii="Verdana" w:hAnsi="Verdana"/>
                <w:sz w:val="20"/>
                <w:szCs w:val="20"/>
              </w:rPr>
              <w:t>Green Belt boundary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 to take account of </w:t>
            </w:r>
            <w:r>
              <w:rPr>
                <w:rFonts w:ascii="Verdana" w:hAnsi="Verdana"/>
                <w:sz w:val="20"/>
                <w:szCs w:val="20"/>
              </w:rPr>
              <w:t xml:space="preserve">extended  housing </w:t>
            </w:r>
            <w:r w:rsidRPr="00353232">
              <w:rPr>
                <w:rFonts w:ascii="Verdana" w:hAnsi="Verdana"/>
                <w:sz w:val="20"/>
                <w:szCs w:val="20"/>
              </w:rPr>
              <w:t>allocation</w:t>
            </w:r>
          </w:p>
        </w:tc>
      </w:tr>
      <w:tr w:rsidR="00B64219" w:rsidRPr="00353232" w:rsidTr="00A41CA7">
        <w:tc>
          <w:tcPr>
            <w:tcW w:w="3030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25.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Honiley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Airfield</w:t>
            </w:r>
          </w:p>
        </w:tc>
        <w:tc>
          <w:tcPr>
            <w:tcW w:w="3031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25.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Honiley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Airfield</w:t>
            </w: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MS2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Extended boundary of </w:t>
            </w:r>
            <w:proofErr w:type="spellStart"/>
            <w:r w:rsidRPr="00353232">
              <w:rPr>
                <w:rFonts w:ascii="Verdana" w:hAnsi="Verdana"/>
                <w:sz w:val="20"/>
                <w:szCs w:val="20"/>
              </w:rPr>
              <w:t>Honiley</w:t>
            </w:r>
            <w:proofErr w:type="spellEnd"/>
            <w:r w:rsidRPr="00353232">
              <w:rPr>
                <w:rFonts w:ascii="Verdana" w:hAnsi="Verdana"/>
                <w:sz w:val="20"/>
                <w:szCs w:val="20"/>
              </w:rPr>
              <w:t xml:space="preserve"> Airfield to include test track for purposes of MS2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B64219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B64219">
              <w:rPr>
                <w:rFonts w:ascii="Verdana" w:hAnsi="Verdana"/>
                <w:sz w:val="20"/>
                <w:szCs w:val="20"/>
              </w:rPr>
              <w:t>EC3</w:t>
            </w:r>
          </w:p>
        </w:tc>
        <w:tc>
          <w:tcPr>
            <w:tcW w:w="7512" w:type="dxa"/>
          </w:tcPr>
          <w:p w:rsidR="00B64219" w:rsidRPr="00B64219" w:rsidRDefault="00B64219" w:rsidP="00B6421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B64219">
              <w:rPr>
                <w:rFonts w:ascii="Verdana" w:hAnsi="Verdana"/>
                <w:sz w:val="20"/>
                <w:szCs w:val="20"/>
              </w:rPr>
              <w:t xml:space="preserve">Added area as major employment commitment 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29.Kingswood</w:t>
            </w:r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29. Kingswood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Deleted the following housing allocation: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H33 West of Mill Lane (site is complete)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Amended the Growth Village Envelope at “Oakfield”</w:t>
            </w:r>
          </w:p>
        </w:tc>
      </w:tr>
      <w:tr w:rsidR="00356523" w:rsidRPr="00353232" w:rsidTr="00A41CA7">
        <w:tc>
          <w:tcPr>
            <w:tcW w:w="3030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35. Westwood Heath</w:t>
            </w:r>
          </w:p>
        </w:tc>
        <w:tc>
          <w:tcPr>
            <w:tcW w:w="3031" w:type="dxa"/>
            <w:vMerge w:val="restart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1. District Wide (there was not an extract of this area in the Submission Plan)</w:t>
            </w: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following housing allocation is added:</w:t>
            </w:r>
          </w:p>
          <w:p w:rsidR="00356523" w:rsidRPr="00353232" w:rsidRDefault="00356523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H42 Westwood Heath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DSNEW2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Safeguarded land (S1) identified </w:t>
            </w:r>
          </w:p>
        </w:tc>
      </w:tr>
      <w:tr w:rsidR="00356523" w:rsidRPr="00353232" w:rsidTr="00A41CA7">
        <w:tc>
          <w:tcPr>
            <w:tcW w:w="3030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356523" w:rsidRPr="00353232" w:rsidRDefault="00356523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Green Belt boundary is amended to take account of the housing allocation and safeguarded land identified above.</w:t>
            </w:r>
          </w:p>
        </w:tc>
      </w:tr>
      <w:tr w:rsidR="00B64219" w:rsidRPr="00353232" w:rsidTr="00A41CA7">
        <w:tc>
          <w:tcPr>
            <w:tcW w:w="3030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36. King’s Hill</w:t>
            </w:r>
          </w:p>
        </w:tc>
        <w:tc>
          <w:tcPr>
            <w:tcW w:w="3031" w:type="dxa"/>
            <w:vMerge w:val="restart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1. District Wide (there was not an extract of this area in the Submission Plan)</w:t>
            </w: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DS11</w:t>
            </w:r>
          </w:p>
        </w:tc>
        <w:tc>
          <w:tcPr>
            <w:tcW w:w="7512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The following housing allocation is added:</w:t>
            </w:r>
          </w:p>
          <w:p w:rsidR="00B64219" w:rsidRPr="00353232" w:rsidRDefault="00B64219" w:rsidP="00A41CA7">
            <w:pPr>
              <w:pStyle w:val="ListParagraph"/>
              <w:numPr>
                <w:ilvl w:val="0"/>
                <w:numId w:val="6"/>
              </w:numPr>
              <w:spacing w:before="40" w:after="40" w:line="276" w:lineRule="auto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H43 King’s Hill</w:t>
            </w:r>
          </w:p>
        </w:tc>
      </w:tr>
      <w:tr w:rsidR="00B64219" w:rsidRPr="00353232" w:rsidTr="00A41CA7">
        <w:tc>
          <w:tcPr>
            <w:tcW w:w="3030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64219" w:rsidRPr="00353232" w:rsidRDefault="00B64219" w:rsidP="00A41CA7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5" w:type="dxa"/>
          </w:tcPr>
          <w:p w:rsidR="00B64219" w:rsidRPr="00353232" w:rsidRDefault="00B64219" w:rsidP="00A41CA7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>DS19</w:t>
            </w:r>
          </w:p>
        </w:tc>
        <w:tc>
          <w:tcPr>
            <w:tcW w:w="7512" w:type="dxa"/>
          </w:tcPr>
          <w:p w:rsidR="00B64219" w:rsidRPr="00353232" w:rsidRDefault="00B64219" w:rsidP="00B64219">
            <w:pPr>
              <w:spacing w:before="40" w:after="40" w:line="276" w:lineRule="auto"/>
              <w:rPr>
                <w:rFonts w:ascii="Verdana" w:hAnsi="Verdana"/>
                <w:sz w:val="20"/>
                <w:szCs w:val="20"/>
              </w:rPr>
            </w:pPr>
            <w:r w:rsidRPr="00353232">
              <w:rPr>
                <w:rFonts w:ascii="Verdana" w:hAnsi="Verdana"/>
                <w:sz w:val="20"/>
                <w:szCs w:val="20"/>
              </w:rPr>
              <w:t xml:space="preserve">The Green Belt boundary is amended to take account of the </w:t>
            </w:r>
            <w:r>
              <w:rPr>
                <w:rFonts w:ascii="Verdana" w:hAnsi="Verdana"/>
                <w:sz w:val="20"/>
                <w:szCs w:val="20"/>
              </w:rPr>
              <w:t xml:space="preserve">H43 </w:t>
            </w:r>
            <w:r w:rsidRPr="00353232">
              <w:rPr>
                <w:rFonts w:ascii="Verdana" w:hAnsi="Verdana"/>
                <w:sz w:val="20"/>
                <w:szCs w:val="20"/>
              </w:rPr>
              <w:t xml:space="preserve">housing allocation </w:t>
            </w:r>
          </w:p>
        </w:tc>
      </w:tr>
    </w:tbl>
    <w:p w:rsidR="00654712" w:rsidRDefault="00654712" w:rsidP="00654712"/>
    <w:p w:rsidR="00706AC1" w:rsidRDefault="00706AC1"/>
    <w:sectPr w:rsidR="00706AC1" w:rsidSect="00356523">
      <w:footerReference w:type="default" r:id="rId8"/>
      <w:pgSz w:w="16838" w:h="11906" w:orient="landscape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32" w:rsidRDefault="00353232" w:rsidP="00353232">
      <w:pPr>
        <w:spacing w:after="0" w:line="240" w:lineRule="auto"/>
      </w:pPr>
      <w:r>
        <w:separator/>
      </w:r>
    </w:p>
  </w:endnote>
  <w:endnote w:type="continuationSeparator" w:id="0">
    <w:p w:rsidR="00353232" w:rsidRDefault="00353232" w:rsidP="0035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869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232" w:rsidRDefault="00353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1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53232" w:rsidRDefault="00353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32" w:rsidRDefault="00353232" w:rsidP="00353232">
      <w:pPr>
        <w:spacing w:after="0" w:line="240" w:lineRule="auto"/>
      </w:pPr>
      <w:r>
        <w:separator/>
      </w:r>
    </w:p>
  </w:footnote>
  <w:footnote w:type="continuationSeparator" w:id="0">
    <w:p w:rsidR="00353232" w:rsidRDefault="00353232" w:rsidP="00353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1617"/>
    <w:multiLevelType w:val="hybridMultilevel"/>
    <w:tmpl w:val="64A48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83BD2"/>
    <w:multiLevelType w:val="hybridMultilevel"/>
    <w:tmpl w:val="3F10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5E8F"/>
    <w:multiLevelType w:val="hybridMultilevel"/>
    <w:tmpl w:val="DCEE3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40A21"/>
    <w:multiLevelType w:val="hybridMultilevel"/>
    <w:tmpl w:val="B0D8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2C77"/>
    <w:multiLevelType w:val="hybridMultilevel"/>
    <w:tmpl w:val="F692F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2859CC"/>
    <w:multiLevelType w:val="hybridMultilevel"/>
    <w:tmpl w:val="19C4D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CB1092"/>
    <w:multiLevelType w:val="hybridMultilevel"/>
    <w:tmpl w:val="A9BE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B0782F"/>
    <w:multiLevelType w:val="hybridMultilevel"/>
    <w:tmpl w:val="0CA8C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483D5F"/>
    <w:multiLevelType w:val="hybridMultilevel"/>
    <w:tmpl w:val="4D1E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5040C"/>
    <w:multiLevelType w:val="hybridMultilevel"/>
    <w:tmpl w:val="18B07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B278D5"/>
    <w:multiLevelType w:val="hybridMultilevel"/>
    <w:tmpl w:val="A0E4D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16A6999"/>
    <w:multiLevelType w:val="hybridMultilevel"/>
    <w:tmpl w:val="B8D66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104614"/>
    <w:multiLevelType w:val="hybridMultilevel"/>
    <w:tmpl w:val="6AA6F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B28DB"/>
    <w:multiLevelType w:val="hybridMultilevel"/>
    <w:tmpl w:val="AACE3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6B7D55"/>
    <w:multiLevelType w:val="hybridMultilevel"/>
    <w:tmpl w:val="D7323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31"/>
    <w:rsid w:val="000334BE"/>
    <w:rsid w:val="0008338E"/>
    <w:rsid w:val="0009039B"/>
    <w:rsid w:val="00095491"/>
    <w:rsid w:val="000A7A8A"/>
    <w:rsid w:val="000C04BF"/>
    <w:rsid w:val="000C2F08"/>
    <w:rsid w:val="0011569E"/>
    <w:rsid w:val="00124CD9"/>
    <w:rsid w:val="00193E9D"/>
    <w:rsid w:val="001B1E43"/>
    <w:rsid w:val="001B4EFE"/>
    <w:rsid w:val="001D7FF0"/>
    <w:rsid w:val="002116A8"/>
    <w:rsid w:val="00215303"/>
    <w:rsid w:val="0029446D"/>
    <w:rsid w:val="002F7BFA"/>
    <w:rsid w:val="00352688"/>
    <w:rsid w:val="00353232"/>
    <w:rsid w:val="00356523"/>
    <w:rsid w:val="003A3486"/>
    <w:rsid w:val="003C4E39"/>
    <w:rsid w:val="003D3D65"/>
    <w:rsid w:val="003F4591"/>
    <w:rsid w:val="00430A9D"/>
    <w:rsid w:val="004B2136"/>
    <w:rsid w:val="004F31A3"/>
    <w:rsid w:val="00500745"/>
    <w:rsid w:val="00514BF2"/>
    <w:rsid w:val="005C56DA"/>
    <w:rsid w:val="005E68C8"/>
    <w:rsid w:val="005F253B"/>
    <w:rsid w:val="006133A0"/>
    <w:rsid w:val="00621141"/>
    <w:rsid w:val="00654712"/>
    <w:rsid w:val="006769ED"/>
    <w:rsid w:val="006B45B0"/>
    <w:rsid w:val="006D06E5"/>
    <w:rsid w:val="00706AC1"/>
    <w:rsid w:val="00707396"/>
    <w:rsid w:val="00735D6B"/>
    <w:rsid w:val="00751F97"/>
    <w:rsid w:val="00767584"/>
    <w:rsid w:val="0077623D"/>
    <w:rsid w:val="007B23D4"/>
    <w:rsid w:val="007E2CF9"/>
    <w:rsid w:val="007F7C6B"/>
    <w:rsid w:val="00820FB6"/>
    <w:rsid w:val="0086410F"/>
    <w:rsid w:val="00895B21"/>
    <w:rsid w:val="008A58E8"/>
    <w:rsid w:val="008E7831"/>
    <w:rsid w:val="008F3736"/>
    <w:rsid w:val="00903922"/>
    <w:rsid w:val="0093661F"/>
    <w:rsid w:val="009460BC"/>
    <w:rsid w:val="00957154"/>
    <w:rsid w:val="00983A0F"/>
    <w:rsid w:val="00A03F4C"/>
    <w:rsid w:val="00A04088"/>
    <w:rsid w:val="00A85731"/>
    <w:rsid w:val="00AD762D"/>
    <w:rsid w:val="00AE2C9B"/>
    <w:rsid w:val="00B43CF2"/>
    <w:rsid w:val="00B64219"/>
    <w:rsid w:val="00BE4420"/>
    <w:rsid w:val="00C33414"/>
    <w:rsid w:val="00C53C5F"/>
    <w:rsid w:val="00C778CE"/>
    <w:rsid w:val="00C92919"/>
    <w:rsid w:val="00D363DF"/>
    <w:rsid w:val="00D746F3"/>
    <w:rsid w:val="00DA2ABD"/>
    <w:rsid w:val="00DC0772"/>
    <w:rsid w:val="00E04BF8"/>
    <w:rsid w:val="00E06833"/>
    <w:rsid w:val="00E41F7C"/>
    <w:rsid w:val="00E518CA"/>
    <w:rsid w:val="00ED103B"/>
    <w:rsid w:val="00F23EB6"/>
    <w:rsid w:val="00FA4BB6"/>
    <w:rsid w:val="00FB1E6F"/>
    <w:rsid w:val="00FB4318"/>
    <w:rsid w:val="00FB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32"/>
  </w:style>
  <w:style w:type="paragraph" w:styleId="Footer">
    <w:name w:val="footer"/>
    <w:basedOn w:val="Normal"/>
    <w:link w:val="FooterChar"/>
    <w:uiPriority w:val="99"/>
    <w:unhideWhenUsed/>
    <w:rsid w:val="0035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32"/>
  </w:style>
  <w:style w:type="paragraph" w:styleId="Footer">
    <w:name w:val="footer"/>
    <w:basedOn w:val="Normal"/>
    <w:link w:val="FooterChar"/>
    <w:uiPriority w:val="99"/>
    <w:unhideWhenUsed/>
    <w:rsid w:val="00353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Smith</dc:creator>
  <cp:lastModifiedBy>Dave Barber</cp:lastModifiedBy>
  <cp:revision>5</cp:revision>
  <dcterms:created xsi:type="dcterms:W3CDTF">2017-09-08T12:37:00Z</dcterms:created>
  <dcterms:modified xsi:type="dcterms:W3CDTF">2017-09-11T10:28:00Z</dcterms:modified>
</cp:coreProperties>
</file>