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89" w:rsidRDefault="00842A89" w:rsidP="007F2F67">
      <w:pPr>
        <w:jc w:val="center"/>
        <w:rPr>
          <w:b/>
        </w:rPr>
      </w:pPr>
      <w:bookmarkStart w:id="0" w:name="_GoBack"/>
      <w:bookmarkEnd w:id="0"/>
      <w:r>
        <w:rPr>
          <w:b/>
        </w:rPr>
        <w:t>Warwick District Council</w:t>
      </w:r>
    </w:p>
    <w:p w:rsidR="00C921FA" w:rsidRDefault="006E1F88" w:rsidP="007F2F67">
      <w:pPr>
        <w:jc w:val="center"/>
        <w:rPr>
          <w:b/>
        </w:rPr>
      </w:pPr>
      <w:r w:rsidRPr="007F2F67">
        <w:rPr>
          <w:b/>
        </w:rPr>
        <w:t>Draft Charging Schedule: Proposed Modification</w:t>
      </w:r>
    </w:p>
    <w:p w:rsidR="00CC394B" w:rsidRPr="00CC394B" w:rsidRDefault="00CC394B" w:rsidP="00CC394B">
      <w:pPr>
        <w:spacing w:after="0" w:line="240" w:lineRule="auto"/>
        <w:rPr>
          <w:rFonts w:cs="Arial"/>
        </w:rPr>
      </w:pPr>
      <w:r w:rsidRPr="00CC394B">
        <w:rPr>
          <w:rFonts w:cs="Arial"/>
        </w:rPr>
        <w:t>During the examination in public on 6</w:t>
      </w:r>
      <w:r w:rsidR="00134AC6">
        <w:rPr>
          <w:rFonts w:cs="Arial"/>
        </w:rPr>
        <w:t>th</w:t>
      </w:r>
      <w:r w:rsidRPr="00CC394B">
        <w:rPr>
          <w:rFonts w:cs="Arial"/>
        </w:rPr>
        <w:t xml:space="preserve"> July 2017, the Examiner requested additional information to assist him in his consideration of Warwick District Council, as follows:  </w:t>
      </w:r>
    </w:p>
    <w:p w:rsidR="00CC394B" w:rsidRPr="002C742C" w:rsidRDefault="00CC394B" w:rsidP="00CC394B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2C742C">
        <w:rPr>
          <w:rFonts w:cs="Arial"/>
        </w:rPr>
        <w:t>Justification for the assumed level of residual Section 106 obligations</w:t>
      </w:r>
    </w:p>
    <w:p w:rsidR="00CC394B" w:rsidRPr="002C742C" w:rsidRDefault="00CC394B" w:rsidP="00CC394B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2C742C">
        <w:rPr>
          <w:rFonts w:cs="Arial"/>
        </w:rPr>
        <w:t>Additional appraisals of 150 and 250 units on greenfield and brownfield land</w:t>
      </w:r>
    </w:p>
    <w:p w:rsidR="00CC394B" w:rsidRPr="002C742C" w:rsidRDefault="00CC394B" w:rsidP="00CC394B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2C742C">
        <w:rPr>
          <w:rFonts w:cs="Arial"/>
        </w:rPr>
        <w:t xml:space="preserve">Expanded version of Table 4.4.3 </w:t>
      </w:r>
    </w:p>
    <w:p w:rsidR="00CC394B" w:rsidRPr="002C742C" w:rsidRDefault="00CC394B" w:rsidP="00CC394B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2C742C">
        <w:rPr>
          <w:rFonts w:cs="Arial"/>
        </w:rPr>
        <w:t>Viability model for older persons’ housing (30 to 50 units)</w:t>
      </w:r>
    </w:p>
    <w:p w:rsidR="00CC394B" w:rsidRPr="002C742C" w:rsidRDefault="00CC394B" w:rsidP="00CC394B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2C742C">
        <w:rPr>
          <w:rFonts w:cs="Arial"/>
        </w:rPr>
        <w:t>Review of definitions of retail use</w:t>
      </w:r>
    </w:p>
    <w:p w:rsidR="00CC394B" w:rsidRDefault="00CC394B" w:rsidP="00CC394B">
      <w:pPr>
        <w:spacing w:after="0" w:line="240" w:lineRule="auto"/>
        <w:rPr>
          <w:rFonts w:cs="Arial"/>
        </w:rPr>
      </w:pPr>
    </w:p>
    <w:p w:rsidR="00CC394B" w:rsidRPr="00CC394B" w:rsidRDefault="00CC394B" w:rsidP="00CC394B">
      <w:pPr>
        <w:spacing w:after="0" w:line="240" w:lineRule="auto"/>
        <w:rPr>
          <w:rFonts w:cs="Arial"/>
        </w:rPr>
      </w:pPr>
      <w:r w:rsidRPr="00CC394B">
        <w:rPr>
          <w:rFonts w:cs="Arial"/>
        </w:rPr>
        <w:t xml:space="preserve">This note addresses point 5).  </w:t>
      </w:r>
    </w:p>
    <w:p w:rsidR="00CC394B" w:rsidRDefault="00CC394B" w:rsidP="00CC394B">
      <w:pPr>
        <w:spacing w:after="0" w:line="240" w:lineRule="auto"/>
      </w:pPr>
    </w:p>
    <w:p w:rsidR="007F2F67" w:rsidRPr="00CC394B" w:rsidRDefault="00CC394B" w:rsidP="00CC394B">
      <w:pPr>
        <w:spacing w:after="0" w:line="240" w:lineRule="auto"/>
        <w:rPr>
          <w:rFonts w:cs="Arial"/>
        </w:rPr>
      </w:pPr>
      <w:r>
        <w:t>T</w:t>
      </w:r>
      <w:r w:rsidR="007F2F67">
        <w:t xml:space="preserve">he District Council </w:t>
      </w:r>
      <w:r>
        <w:t xml:space="preserve">has </w:t>
      </w:r>
      <w:r w:rsidR="007F2F67">
        <w:t>agreed to prepare a modification to the CIL Charging Schedule to provide further clarity regarding the charging rates and zones for retail. In particular</w:t>
      </w:r>
      <w:r w:rsidR="00AE06F4">
        <w:t>:</w:t>
      </w:r>
    </w:p>
    <w:p w:rsidR="007F2F67" w:rsidRPr="007F2F67" w:rsidRDefault="007F2F67" w:rsidP="007F2F67">
      <w:pPr>
        <w:pStyle w:val="ListParagraph"/>
        <w:numPr>
          <w:ilvl w:val="0"/>
          <w:numId w:val="13"/>
        </w:numPr>
      </w:pPr>
      <w:r>
        <w:t xml:space="preserve">the Charging Schedule should be clearer about the definitions of </w:t>
      </w:r>
      <w:r w:rsidRPr="007F2F67">
        <w:rPr>
          <w:rFonts w:ascii="Calibri" w:eastAsia="SymbolOOEnc" w:hAnsi="Calibri" w:cs="Calibri"/>
        </w:rPr>
        <w:t>“convenience based supermarkets and superstores; retai</w:t>
      </w:r>
      <w:r w:rsidR="00134AC6">
        <w:rPr>
          <w:rFonts w:ascii="Calibri" w:eastAsia="SymbolOOEnc" w:hAnsi="Calibri" w:cs="Calibri"/>
        </w:rPr>
        <w:t>l warehouses; and retail parks;</w:t>
      </w:r>
      <w:r w:rsidRPr="007F2F67">
        <w:rPr>
          <w:rFonts w:ascii="Calibri" w:eastAsia="SymbolOOEnc" w:hAnsi="Calibri" w:cs="Calibri"/>
        </w:rPr>
        <w:t xml:space="preserve"> </w:t>
      </w:r>
    </w:p>
    <w:p w:rsidR="007F2F67" w:rsidRDefault="007F2F67" w:rsidP="007F2F67">
      <w:pPr>
        <w:pStyle w:val="ListParagraph"/>
        <w:numPr>
          <w:ilvl w:val="0"/>
          <w:numId w:val="13"/>
        </w:numPr>
      </w:pPr>
      <w:r>
        <w:rPr>
          <w:rFonts w:ascii="Calibri" w:eastAsia="SymbolOOEnc" w:hAnsi="Calibri" w:cs="Calibri"/>
        </w:rPr>
        <w:t xml:space="preserve">The way CIL </w:t>
      </w:r>
      <w:r w:rsidR="000A0327">
        <w:rPr>
          <w:rFonts w:ascii="Calibri" w:eastAsia="SymbolOOEnc" w:hAnsi="Calibri" w:cs="Calibri"/>
        </w:rPr>
        <w:t>is to be</w:t>
      </w:r>
      <w:r>
        <w:rPr>
          <w:rFonts w:ascii="Calibri" w:eastAsia="SymbolOOEnc" w:hAnsi="Calibri" w:cs="Calibri"/>
        </w:rPr>
        <w:t xml:space="preserve"> applied to different types of retail and different zones should </w:t>
      </w:r>
      <w:r w:rsidR="00AE06F4">
        <w:rPr>
          <w:rFonts w:ascii="Calibri" w:eastAsia="SymbolOOEnc" w:hAnsi="Calibri" w:cs="Calibri"/>
        </w:rPr>
        <w:t>be</w:t>
      </w:r>
      <w:r>
        <w:rPr>
          <w:rFonts w:ascii="Calibri" w:eastAsia="SymbolOOEnc" w:hAnsi="Calibri" w:cs="Calibri"/>
        </w:rPr>
        <w:t xml:space="preserve"> clarified</w:t>
      </w:r>
      <w:r w:rsidR="00134AC6">
        <w:rPr>
          <w:rFonts w:ascii="Calibri" w:eastAsia="SymbolOOEnc" w:hAnsi="Calibri" w:cs="Calibri"/>
        </w:rPr>
        <w:t xml:space="preserve">; and </w:t>
      </w:r>
      <w:r>
        <w:rPr>
          <w:rFonts w:ascii="Calibri" w:eastAsia="SymbolOOEnc" w:hAnsi="Calibri" w:cs="Calibri"/>
        </w:rPr>
        <w:t xml:space="preserve">  </w:t>
      </w:r>
    </w:p>
    <w:p w:rsidR="007F2F67" w:rsidRDefault="007F2F67" w:rsidP="007F2F67">
      <w:pPr>
        <w:pStyle w:val="ListParagraph"/>
        <w:numPr>
          <w:ilvl w:val="0"/>
          <w:numId w:val="13"/>
        </w:numPr>
      </w:pPr>
      <w:r>
        <w:t>A map showing the  Leamington Prime Retail Zone should be made available for consultation</w:t>
      </w:r>
    </w:p>
    <w:p w:rsidR="006E1F88" w:rsidRDefault="007F2F67">
      <w:r>
        <w:t xml:space="preserve">The document seeks to </w:t>
      </w:r>
      <w:r w:rsidR="000A0327">
        <w:t>clarify these points as 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2694"/>
      </w:tblGrid>
      <w:tr w:rsidR="006E1F88" w:rsidTr="00134AC6">
        <w:tc>
          <w:tcPr>
            <w:tcW w:w="9606" w:type="dxa"/>
            <w:gridSpan w:val="2"/>
            <w:shd w:val="clear" w:color="auto" w:fill="548DD4" w:themeFill="text2" w:themeFillTint="99"/>
          </w:tcPr>
          <w:p w:rsidR="006E1F88" w:rsidRDefault="006E1F88" w:rsidP="0085727B">
            <w:pPr>
              <w:jc w:val="center"/>
              <w:rPr>
                <w:b/>
              </w:rPr>
            </w:pPr>
          </w:p>
          <w:p w:rsidR="006E1F88" w:rsidRDefault="006E1F88" w:rsidP="0085727B">
            <w:pPr>
              <w:jc w:val="center"/>
              <w:rPr>
                <w:b/>
              </w:rPr>
            </w:pPr>
            <w:r>
              <w:rPr>
                <w:b/>
              </w:rPr>
              <w:t>Type of Development: Retail</w:t>
            </w:r>
          </w:p>
          <w:p w:rsidR="006E1F88" w:rsidRPr="0095101F" w:rsidRDefault="006E1F88" w:rsidP="0085727B">
            <w:pPr>
              <w:jc w:val="center"/>
              <w:rPr>
                <w:b/>
              </w:rPr>
            </w:pPr>
          </w:p>
        </w:tc>
      </w:tr>
      <w:tr w:rsidR="006E1F88" w:rsidTr="00134AC6">
        <w:tc>
          <w:tcPr>
            <w:tcW w:w="6912" w:type="dxa"/>
          </w:tcPr>
          <w:p w:rsidR="006E1F88" w:rsidRPr="0095101F" w:rsidRDefault="006E1F88" w:rsidP="0085727B">
            <w:pPr>
              <w:jc w:val="center"/>
              <w:rPr>
                <w:b/>
              </w:rPr>
            </w:pPr>
            <w:r w:rsidRPr="0095101F">
              <w:rPr>
                <w:b/>
              </w:rPr>
              <w:t xml:space="preserve">Retail </w:t>
            </w:r>
            <w:proofErr w:type="spellStart"/>
            <w:r>
              <w:rPr>
                <w:b/>
              </w:rPr>
              <w:t>Floorspace</w:t>
            </w:r>
            <w:proofErr w:type="spellEnd"/>
            <w:r>
              <w:rPr>
                <w:b/>
              </w:rPr>
              <w:t>?</w:t>
            </w:r>
          </w:p>
        </w:tc>
        <w:tc>
          <w:tcPr>
            <w:tcW w:w="2694" w:type="dxa"/>
          </w:tcPr>
          <w:p w:rsidR="006E1F88" w:rsidRPr="0095101F" w:rsidRDefault="006E1F88" w:rsidP="0085727B">
            <w:pPr>
              <w:jc w:val="center"/>
              <w:rPr>
                <w:b/>
              </w:rPr>
            </w:pPr>
            <w:r w:rsidRPr="0095101F">
              <w:rPr>
                <w:b/>
              </w:rPr>
              <w:t>Charge per square metre</w:t>
            </w:r>
          </w:p>
        </w:tc>
      </w:tr>
      <w:tr w:rsidR="006E1F88" w:rsidTr="00134AC6">
        <w:tc>
          <w:tcPr>
            <w:tcW w:w="6912" w:type="dxa"/>
          </w:tcPr>
          <w:p w:rsidR="006E1F88" w:rsidRDefault="006E1F88" w:rsidP="0085727B">
            <w:r>
              <w:t xml:space="preserve">Retail development up to 2500 </w:t>
            </w:r>
            <w:proofErr w:type="spellStart"/>
            <w:r>
              <w:t>sq</w:t>
            </w:r>
            <w:r w:rsidR="00134AC6">
              <w:t>aure</w:t>
            </w:r>
            <w:proofErr w:type="spellEnd"/>
            <w:r>
              <w:t xml:space="preserve"> metres </w:t>
            </w:r>
            <w:proofErr w:type="spellStart"/>
            <w:r>
              <w:t>floorspace</w:t>
            </w:r>
            <w:proofErr w:type="spellEnd"/>
            <w:r>
              <w:t xml:space="preserve">  within Leamington Prime Retail Zone </w:t>
            </w:r>
          </w:p>
        </w:tc>
        <w:tc>
          <w:tcPr>
            <w:tcW w:w="2694" w:type="dxa"/>
          </w:tcPr>
          <w:p w:rsidR="006E1F88" w:rsidRDefault="006E1F88" w:rsidP="0085727B">
            <w:r>
              <w:t>£65</w:t>
            </w:r>
          </w:p>
        </w:tc>
      </w:tr>
      <w:tr w:rsidR="006E1F88" w:rsidTr="00134AC6">
        <w:tc>
          <w:tcPr>
            <w:tcW w:w="6912" w:type="dxa"/>
          </w:tcPr>
          <w:p w:rsidR="006E1F88" w:rsidRDefault="006E1F88" w:rsidP="0085727B">
            <w:r>
              <w:t>Retail development up to 2500 sq</w:t>
            </w:r>
            <w:r w:rsidR="00134AC6">
              <w:t>uare</w:t>
            </w:r>
            <w:r>
              <w:t xml:space="preserve"> metres </w:t>
            </w:r>
            <w:proofErr w:type="spellStart"/>
            <w:r>
              <w:t>floorspace</w:t>
            </w:r>
            <w:proofErr w:type="spellEnd"/>
            <w:r>
              <w:t xml:space="preserve">  outside Leamington Prime Retail Zone</w:t>
            </w:r>
          </w:p>
        </w:tc>
        <w:tc>
          <w:tcPr>
            <w:tcW w:w="2694" w:type="dxa"/>
          </w:tcPr>
          <w:p w:rsidR="006E1F88" w:rsidRDefault="006E1F88" w:rsidP="0085727B">
            <w:r>
              <w:t>Nil</w:t>
            </w:r>
          </w:p>
        </w:tc>
      </w:tr>
      <w:tr w:rsidR="006E1F88" w:rsidTr="00134AC6">
        <w:tc>
          <w:tcPr>
            <w:tcW w:w="6912" w:type="dxa"/>
          </w:tcPr>
          <w:p w:rsidR="006E1F88" w:rsidRDefault="006E1F88" w:rsidP="0085727B">
            <w:r>
              <w:t>Retail Development 2500 sq</w:t>
            </w:r>
            <w:r w:rsidR="00134AC6">
              <w:t xml:space="preserve">uare metres </w:t>
            </w:r>
            <w:proofErr w:type="spellStart"/>
            <w:r w:rsidR="00134AC6">
              <w:t>floorspace</w:t>
            </w:r>
            <w:proofErr w:type="spellEnd"/>
            <w:r w:rsidR="00134AC6">
              <w:t xml:space="preserve"> or over - </w:t>
            </w:r>
            <w:r>
              <w:t>whole District</w:t>
            </w:r>
          </w:p>
        </w:tc>
        <w:tc>
          <w:tcPr>
            <w:tcW w:w="2694" w:type="dxa"/>
          </w:tcPr>
          <w:p w:rsidR="006E1F88" w:rsidRDefault="006E1F88" w:rsidP="0085727B">
            <w:r>
              <w:t>£105</w:t>
            </w:r>
          </w:p>
        </w:tc>
      </w:tr>
    </w:tbl>
    <w:p w:rsidR="00CC394B" w:rsidRDefault="00CC394B" w:rsidP="00CC394B">
      <w:pPr>
        <w:spacing w:after="0"/>
        <w:rPr>
          <w:b/>
        </w:rPr>
      </w:pPr>
    </w:p>
    <w:p w:rsidR="00C921FA" w:rsidRPr="00D976F8" w:rsidRDefault="00C921FA">
      <w:pPr>
        <w:rPr>
          <w:b/>
        </w:rPr>
      </w:pPr>
      <w:r w:rsidRPr="00D976F8">
        <w:rPr>
          <w:b/>
        </w:rPr>
        <w:t>Definitions and Notes</w:t>
      </w:r>
    </w:p>
    <w:p w:rsidR="00C921FA" w:rsidRPr="00C921FA" w:rsidRDefault="00D976F8" w:rsidP="00CC394B">
      <w:pPr>
        <w:autoSpaceDE w:val="0"/>
        <w:autoSpaceDN w:val="0"/>
        <w:adjustRightInd w:val="0"/>
        <w:spacing w:after="0"/>
        <w:rPr>
          <w:rFonts w:ascii="Calibri" w:eastAsia="SymbolOOEnc" w:hAnsi="Calibri" w:cs="Calibri"/>
        </w:rPr>
      </w:pPr>
      <w:r>
        <w:rPr>
          <w:rFonts w:ascii="Calibri" w:eastAsia="SymbolOOEnc" w:hAnsi="Calibri" w:cs="Calibri"/>
        </w:rPr>
        <w:t>1</w:t>
      </w:r>
      <w:r>
        <w:rPr>
          <w:rFonts w:ascii="Calibri" w:eastAsia="SymbolOOEnc" w:hAnsi="Calibri" w:cs="Calibri"/>
        </w:rPr>
        <w:tab/>
      </w:r>
      <w:r w:rsidR="00611983">
        <w:rPr>
          <w:rFonts w:ascii="Calibri" w:eastAsia="SymbolOOEnc" w:hAnsi="Calibri" w:cs="Calibri"/>
        </w:rPr>
        <w:t>Retail development</w:t>
      </w:r>
      <w:r w:rsidR="00C921FA" w:rsidRPr="00C921FA">
        <w:rPr>
          <w:rFonts w:ascii="Calibri" w:eastAsia="SymbolOOEnc" w:hAnsi="Calibri" w:cs="Calibri"/>
        </w:rPr>
        <w:t xml:space="preserve"> will include the following</w:t>
      </w:r>
      <w:r>
        <w:rPr>
          <w:rFonts w:ascii="Calibri" w:eastAsia="SymbolOOEnc" w:hAnsi="Calibri" w:cs="Calibri"/>
        </w:rPr>
        <w:t>:</w:t>
      </w:r>
    </w:p>
    <w:p w:rsidR="00C921FA" w:rsidRDefault="000A0327" w:rsidP="00CC394B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ind w:left="1134" w:hanging="425"/>
        <w:rPr>
          <w:rFonts w:ascii="Calibri" w:eastAsia="SymbolOOEnc" w:hAnsi="Calibri" w:cs="Calibri"/>
        </w:rPr>
      </w:pPr>
      <w:r>
        <w:rPr>
          <w:rFonts w:ascii="Calibri" w:eastAsia="SymbolOOEnc" w:hAnsi="Calibri" w:cs="Calibri"/>
        </w:rPr>
        <w:t>Convenience-</w:t>
      </w:r>
      <w:r w:rsidR="00C921FA">
        <w:rPr>
          <w:rFonts w:ascii="Calibri" w:eastAsia="SymbolOOEnc" w:hAnsi="Calibri" w:cs="Calibri"/>
        </w:rPr>
        <w:t>based supermarkets and s</w:t>
      </w:r>
      <w:r w:rsidR="00C921FA" w:rsidRPr="00266273">
        <w:rPr>
          <w:rFonts w:ascii="Calibri" w:eastAsia="SymbolOOEnc" w:hAnsi="Calibri" w:cs="Calibri"/>
        </w:rPr>
        <w:t>uperstores</w:t>
      </w:r>
      <w:r w:rsidR="00D976F8">
        <w:rPr>
          <w:rFonts w:ascii="Calibri" w:eastAsia="SymbolOOEnc" w:hAnsi="Calibri" w:cs="Calibri"/>
        </w:rPr>
        <w:t xml:space="preserve"> </w:t>
      </w:r>
      <w:r>
        <w:rPr>
          <w:rFonts w:ascii="Calibri" w:eastAsia="SymbolOOEnc" w:hAnsi="Calibri" w:cs="Calibri"/>
        </w:rPr>
        <w:t>-</w:t>
      </w:r>
      <w:r w:rsidR="00C921FA" w:rsidRPr="00266273">
        <w:rPr>
          <w:rFonts w:ascii="Calibri" w:eastAsia="SymbolOOEnc" w:hAnsi="Calibri" w:cs="Calibri"/>
        </w:rPr>
        <w:t xml:space="preserve"> shopping destinations in their own right, selling mainly food or food and non-food goods, which have a dedicated car park</w:t>
      </w:r>
      <w:r w:rsidR="00611983">
        <w:rPr>
          <w:rFonts w:ascii="Calibri" w:eastAsia="SymbolOOEnc" w:hAnsi="Calibri" w:cs="Calibri"/>
        </w:rPr>
        <w:t xml:space="preserve"> and </w:t>
      </w:r>
      <w:r>
        <w:rPr>
          <w:rFonts w:ascii="Calibri" w:eastAsia="SymbolOOEnc" w:hAnsi="Calibri" w:cs="Calibri"/>
        </w:rPr>
        <w:t xml:space="preserve">with </w:t>
      </w:r>
      <w:r w:rsidR="00611983">
        <w:rPr>
          <w:rFonts w:ascii="Calibri" w:eastAsia="SymbolOOEnc" w:hAnsi="Calibri" w:cs="Calibri"/>
        </w:rPr>
        <w:t>a gros</w:t>
      </w:r>
      <w:r w:rsidR="00C921FA">
        <w:rPr>
          <w:rFonts w:ascii="Calibri" w:eastAsia="SymbolOOEnc" w:hAnsi="Calibri" w:cs="Calibri"/>
        </w:rPr>
        <w:t xml:space="preserve">s floor </w:t>
      </w:r>
      <w:r>
        <w:rPr>
          <w:rFonts w:ascii="Calibri" w:eastAsia="SymbolOOEnc" w:hAnsi="Calibri" w:cs="Calibri"/>
        </w:rPr>
        <w:t>area</w:t>
      </w:r>
      <w:r w:rsidR="00C921FA">
        <w:rPr>
          <w:rFonts w:ascii="Calibri" w:eastAsia="SymbolOOEnc" w:hAnsi="Calibri" w:cs="Calibri"/>
        </w:rPr>
        <w:t xml:space="preserve"> of 2500 </w:t>
      </w:r>
      <w:r w:rsidR="00611983">
        <w:rPr>
          <w:rFonts w:ascii="Calibri" w:eastAsia="SymbolOOEnc" w:hAnsi="Calibri" w:cs="Calibri"/>
        </w:rPr>
        <w:t>square</w:t>
      </w:r>
      <w:r w:rsidR="00C921FA">
        <w:rPr>
          <w:rFonts w:ascii="Calibri" w:eastAsia="SymbolOOEnc" w:hAnsi="Calibri" w:cs="Calibri"/>
        </w:rPr>
        <w:t xml:space="preserve"> metres or more</w:t>
      </w:r>
      <w:r w:rsidR="00134AC6">
        <w:rPr>
          <w:rFonts w:ascii="Calibri" w:eastAsia="SymbolOOEnc" w:hAnsi="Calibri" w:cs="Calibri"/>
        </w:rPr>
        <w:t>;</w:t>
      </w:r>
    </w:p>
    <w:p w:rsidR="00C921FA" w:rsidRPr="00611983" w:rsidRDefault="00C921FA" w:rsidP="0061198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1134" w:hanging="425"/>
        <w:rPr>
          <w:rFonts w:ascii="Calibri" w:eastAsia="SymbolOOEnc" w:hAnsi="Calibri" w:cs="Calibri"/>
        </w:rPr>
      </w:pPr>
      <w:r w:rsidRPr="00266273">
        <w:rPr>
          <w:rFonts w:ascii="Calibri" w:eastAsia="SymbolOOEnc" w:hAnsi="Calibri" w:cs="Calibri"/>
        </w:rPr>
        <w:t xml:space="preserve">Retail warehouses </w:t>
      </w:r>
      <w:r w:rsidR="000A0327">
        <w:rPr>
          <w:rFonts w:ascii="Calibri" w:eastAsia="SymbolOOEnc" w:hAnsi="Calibri" w:cs="Calibri"/>
        </w:rPr>
        <w:t xml:space="preserve">- </w:t>
      </w:r>
      <w:r w:rsidRPr="00266273">
        <w:rPr>
          <w:rFonts w:ascii="Calibri" w:eastAsia="SymbolOOEnc" w:hAnsi="Calibri" w:cs="Calibri"/>
        </w:rPr>
        <w:t>large stores specialising in the sale of household goods (such as carpets, furniture and electrical goods), DIY items and other ranges of goods, catering for mainly car-borne customers</w:t>
      </w:r>
      <w:r w:rsidR="00611983">
        <w:rPr>
          <w:rFonts w:ascii="Calibri" w:eastAsia="SymbolOOEnc" w:hAnsi="Calibri" w:cs="Calibri"/>
        </w:rPr>
        <w:t xml:space="preserve"> and </w:t>
      </w:r>
      <w:r w:rsidR="000A0327">
        <w:rPr>
          <w:rFonts w:ascii="Calibri" w:eastAsia="SymbolOOEnc" w:hAnsi="Calibri" w:cs="Calibri"/>
        </w:rPr>
        <w:t>with a gross floor area</w:t>
      </w:r>
      <w:r w:rsidR="00134AC6">
        <w:rPr>
          <w:rFonts w:ascii="Calibri" w:eastAsia="SymbolOOEnc" w:hAnsi="Calibri" w:cs="Calibri"/>
        </w:rPr>
        <w:t xml:space="preserve"> of 2500 square metres or more;</w:t>
      </w:r>
    </w:p>
    <w:p w:rsidR="00C921FA" w:rsidRPr="00266273" w:rsidRDefault="00C921FA" w:rsidP="00C921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1134" w:hanging="425"/>
      </w:pPr>
      <w:r w:rsidRPr="00266273">
        <w:t>Retail Parks</w:t>
      </w:r>
      <w:r w:rsidR="00611983">
        <w:t xml:space="preserve"> </w:t>
      </w:r>
      <w:r w:rsidR="000A0327">
        <w:t>-</w:t>
      </w:r>
      <w:r w:rsidRPr="00266273">
        <w:t xml:space="preserve"> </w:t>
      </w:r>
      <w:r w:rsidR="00611983">
        <w:t xml:space="preserve">an agglomeration of three or more retail units (totalling in excess of 2500square metres) encompassing </w:t>
      </w:r>
      <w:r w:rsidRPr="00266273">
        <w:t xml:space="preserve">new retail </w:t>
      </w:r>
      <w:proofErr w:type="spellStart"/>
      <w:r w:rsidRPr="00266273">
        <w:t>floorspace</w:t>
      </w:r>
      <w:proofErr w:type="spellEnd"/>
      <w:r w:rsidR="00611983">
        <w:t xml:space="preserve"> and</w:t>
      </w:r>
      <w:r w:rsidRPr="00266273">
        <w:t xml:space="preserve"> including retail </w:t>
      </w:r>
      <w:proofErr w:type="spellStart"/>
      <w:r w:rsidRPr="00266273">
        <w:t>floorspace</w:t>
      </w:r>
      <w:proofErr w:type="spellEnd"/>
      <w:r w:rsidRPr="00266273">
        <w:t xml:space="preserve"> extensions and additional </w:t>
      </w:r>
      <w:proofErr w:type="spellStart"/>
      <w:r w:rsidRPr="00266273">
        <w:t>floorspace</w:t>
      </w:r>
      <w:proofErr w:type="spellEnd"/>
      <w:r w:rsidRPr="00266273">
        <w:t xml:space="preserve"> created through the addition of mezzanine floors within existing retail parks</w:t>
      </w:r>
      <w:r w:rsidR="00611983">
        <w:t xml:space="preserve"> outside the town centres</w:t>
      </w:r>
      <w:r w:rsidRPr="00266273">
        <w:t xml:space="preserve">.  </w:t>
      </w:r>
    </w:p>
    <w:p w:rsidR="00C921FA" w:rsidRDefault="00D976F8" w:rsidP="00D976F8">
      <w:pPr>
        <w:ind w:left="709" w:hanging="709"/>
      </w:pPr>
      <w:r>
        <w:t>2</w:t>
      </w:r>
      <w:r>
        <w:tab/>
      </w:r>
      <w:r w:rsidR="00611983">
        <w:t>The threshold of 2500 square metr</w:t>
      </w:r>
      <w:r w:rsidR="000A0327">
        <w:t>es has been identified to align</w:t>
      </w:r>
      <w:r w:rsidR="00611983">
        <w:t xml:space="preserve"> with the default threshold identified in paragraph 26 of the National Planning Policy Framework and with the Council</w:t>
      </w:r>
      <w:r w:rsidR="000A0327">
        <w:t>’s</w:t>
      </w:r>
      <w:r w:rsidR="00611983">
        <w:t xml:space="preserve"> viability studies (these assessed the viability of retail units of over 30000 square feet – which equates to 2787 square metres</w:t>
      </w:r>
      <w:r w:rsidR="000A0327">
        <w:t>)</w:t>
      </w:r>
      <w:r>
        <w:t>.</w:t>
      </w:r>
    </w:p>
    <w:p w:rsidR="00D976F8" w:rsidRDefault="00D976F8" w:rsidP="006E1F88">
      <w:pPr>
        <w:ind w:left="709" w:hanging="709"/>
      </w:pPr>
      <w:r>
        <w:lastRenderedPageBreak/>
        <w:t>3</w:t>
      </w:r>
      <w:r>
        <w:tab/>
      </w:r>
      <w:proofErr w:type="spellStart"/>
      <w:r w:rsidRPr="006E1F88">
        <w:t>Floorspace</w:t>
      </w:r>
      <w:proofErr w:type="spellEnd"/>
      <w:r w:rsidRPr="006E1F88">
        <w:t xml:space="preserve"> will be measured </w:t>
      </w:r>
      <w:r w:rsidR="006E1F88" w:rsidRPr="006E1F88">
        <w:t>as the</w:t>
      </w:r>
      <w:r w:rsidRPr="006E1F88">
        <w:t xml:space="preserve"> gross internal area as set in Regulation 40 of the CIL </w:t>
      </w:r>
      <w:r w:rsidR="006E1F88" w:rsidRPr="006E1F88">
        <w:t>R</w:t>
      </w:r>
      <w:r w:rsidRPr="006E1F88">
        <w:t>egulation</w:t>
      </w:r>
      <w:r w:rsidR="006E1F88" w:rsidRPr="006E1F88">
        <w:t>s</w:t>
      </w:r>
      <w:r w:rsidRPr="006E1F88">
        <w:t xml:space="preserve"> 2010 (as amended)</w:t>
      </w:r>
      <w:r w:rsidR="00134AC6">
        <w:t>.</w:t>
      </w:r>
    </w:p>
    <w:p w:rsidR="00D976F8" w:rsidRDefault="00D976F8" w:rsidP="00D976F8">
      <w:pPr>
        <w:ind w:left="709" w:hanging="709"/>
      </w:pPr>
      <w:r>
        <w:t>4</w:t>
      </w:r>
      <w:r>
        <w:tab/>
        <w:t xml:space="preserve">The Leamington Prime Retail Area is shown on the Leamington Prime Retail Zone Map below.   </w:t>
      </w:r>
    </w:p>
    <w:p w:rsidR="00D976F8" w:rsidRDefault="00D976F8" w:rsidP="00D976F8">
      <w:pPr>
        <w:ind w:left="709" w:hanging="709"/>
      </w:pPr>
      <w:r>
        <w:rPr>
          <w:noProof/>
          <w:lang w:eastAsia="en-GB"/>
        </w:rPr>
        <w:drawing>
          <wp:inline distT="0" distB="0" distL="0" distR="0" wp14:anchorId="352B5FC4" wp14:editId="5C05BCA4">
            <wp:extent cx="5731510" cy="803211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76F8" w:rsidSect="00134AC6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treal-Regular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real-DemiBold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02CF"/>
    <w:multiLevelType w:val="hybridMultilevel"/>
    <w:tmpl w:val="4798F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57EB8"/>
    <w:multiLevelType w:val="hybridMultilevel"/>
    <w:tmpl w:val="74D6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920E6"/>
    <w:multiLevelType w:val="hybridMultilevel"/>
    <w:tmpl w:val="9320C782"/>
    <w:lvl w:ilvl="0" w:tplc="6602E416">
      <w:start w:val="1"/>
      <w:numFmt w:val="bullet"/>
      <w:pStyle w:val="LPBullet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941DA"/>
    <w:multiLevelType w:val="hybridMultilevel"/>
    <w:tmpl w:val="DC8ED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51F54"/>
    <w:multiLevelType w:val="hybridMultilevel"/>
    <w:tmpl w:val="F6EA10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2077C2"/>
    <w:multiLevelType w:val="hybridMultilevel"/>
    <w:tmpl w:val="4BB6D35A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2061A4"/>
    <w:multiLevelType w:val="multilevel"/>
    <w:tmpl w:val="190C56CE"/>
    <w:lvl w:ilvl="0">
      <w:start w:val="4"/>
      <w:numFmt w:val="decimal"/>
      <w:pStyle w:val="LPH1"/>
      <w:lvlText w:val="%1"/>
      <w:lvlJc w:val="left"/>
      <w:pPr>
        <w:ind w:left="680" w:hanging="680"/>
      </w:pPr>
      <w:rPr>
        <w:rFonts w:ascii="Montreal-Regular" w:hAnsi="Montreal-Regular" w:hint="default"/>
        <w:color w:val="84286B"/>
        <w:sz w:val="48"/>
      </w:rPr>
    </w:lvl>
    <w:lvl w:ilvl="1">
      <w:start w:val="1"/>
      <w:numFmt w:val="decimal"/>
      <w:pStyle w:val="LPH2"/>
      <w:lvlText w:val="%1.%2"/>
      <w:lvlJc w:val="left"/>
      <w:pPr>
        <w:ind w:left="1106" w:hanging="680"/>
      </w:pPr>
      <w:rPr>
        <w:rFonts w:hint="default"/>
        <w:b w:val="0"/>
        <w:i w:val="0"/>
      </w:rPr>
    </w:lvl>
    <w:lvl w:ilvl="2">
      <w:start w:val="1"/>
      <w:numFmt w:val="decimal"/>
      <w:pStyle w:val="LPH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680" w:hanging="680"/>
      </w:pPr>
      <w:rPr>
        <w:rFonts w:hint="default"/>
        <w:b/>
        <w:i w:val="0"/>
      </w:rPr>
    </w:lvl>
    <w:lvl w:ilvl="4">
      <w:start w:val="1"/>
      <w:numFmt w:val="decimal"/>
      <w:pStyle w:val="LPH-Map"/>
      <w:suff w:val="nothing"/>
      <w:lvlText w:val="Map %5: 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FA"/>
    <w:rsid w:val="000A0327"/>
    <w:rsid w:val="00134AC6"/>
    <w:rsid w:val="00554B31"/>
    <w:rsid w:val="005B48F3"/>
    <w:rsid w:val="00600B82"/>
    <w:rsid w:val="00611983"/>
    <w:rsid w:val="006E1F88"/>
    <w:rsid w:val="00744EDD"/>
    <w:rsid w:val="007F2F67"/>
    <w:rsid w:val="00842A89"/>
    <w:rsid w:val="00AE06F4"/>
    <w:rsid w:val="00BD25C1"/>
    <w:rsid w:val="00C921FA"/>
    <w:rsid w:val="00CC394B"/>
    <w:rsid w:val="00D84ECB"/>
    <w:rsid w:val="00D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H1">
    <w:name w:val="LP H1"/>
    <w:basedOn w:val="Normal"/>
    <w:next w:val="Normal"/>
    <w:qFormat/>
    <w:rsid w:val="00600B82"/>
    <w:pPr>
      <w:numPr>
        <w:numId w:val="9"/>
      </w:numPr>
      <w:pBdr>
        <w:bottom w:val="single" w:sz="12" w:space="11" w:color="84286B"/>
      </w:pBdr>
      <w:spacing w:before="240" w:after="240" w:line="336" w:lineRule="auto"/>
    </w:pPr>
    <w:rPr>
      <w:rFonts w:ascii="Montreal-Regular" w:hAnsi="Montreal-Regular" w:cs="Calibri"/>
      <w:color w:val="84286B"/>
      <w:spacing w:val="8"/>
      <w:sz w:val="48"/>
    </w:rPr>
  </w:style>
  <w:style w:type="paragraph" w:customStyle="1" w:styleId="LPH2">
    <w:name w:val="LP H2"/>
    <w:basedOn w:val="Normal"/>
    <w:qFormat/>
    <w:rsid w:val="00600B82"/>
    <w:pPr>
      <w:numPr>
        <w:ilvl w:val="1"/>
        <w:numId w:val="9"/>
      </w:numPr>
      <w:spacing w:after="240" w:line="336" w:lineRule="auto"/>
    </w:pPr>
    <w:rPr>
      <w:rFonts w:ascii="Montreal-Regular" w:hAnsi="Montreal-Regular" w:cs="Calibri"/>
      <w:spacing w:val="8"/>
      <w:sz w:val="20"/>
    </w:rPr>
  </w:style>
  <w:style w:type="paragraph" w:customStyle="1" w:styleId="LPH3">
    <w:name w:val="LP H3"/>
    <w:basedOn w:val="Normal"/>
    <w:qFormat/>
    <w:rsid w:val="00600B82"/>
    <w:pPr>
      <w:numPr>
        <w:ilvl w:val="2"/>
        <w:numId w:val="9"/>
      </w:numPr>
      <w:spacing w:after="240" w:line="336" w:lineRule="auto"/>
    </w:pPr>
    <w:rPr>
      <w:rFonts w:ascii="Montreal-Regular" w:hAnsi="Montreal-Regular" w:cs="Calibri"/>
      <w:spacing w:val="8"/>
      <w:sz w:val="20"/>
    </w:rPr>
  </w:style>
  <w:style w:type="paragraph" w:customStyle="1" w:styleId="LPH-Map">
    <w:name w:val="LP H-Map"/>
    <w:basedOn w:val="LPH3"/>
    <w:next w:val="Normal"/>
    <w:qFormat/>
    <w:rsid w:val="00600B82"/>
    <w:pPr>
      <w:numPr>
        <w:ilvl w:val="4"/>
      </w:numPr>
    </w:pPr>
    <w:rPr>
      <w:color w:val="84286B"/>
      <w:sz w:val="48"/>
    </w:rPr>
  </w:style>
  <w:style w:type="paragraph" w:customStyle="1" w:styleId="LPH-Small">
    <w:name w:val="LP H-Small"/>
    <w:next w:val="Normal"/>
    <w:qFormat/>
    <w:rsid w:val="00600B82"/>
    <w:rPr>
      <w:rFonts w:ascii="Montreal-DemiBold" w:hAnsi="Montreal-DemiBold" w:cs="Calibri"/>
      <w:color w:val="84286B"/>
      <w:spacing w:val="8"/>
      <w:sz w:val="20"/>
    </w:rPr>
  </w:style>
  <w:style w:type="paragraph" w:customStyle="1" w:styleId="LPBullet01">
    <w:name w:val="LP Bullet 01"/>
    <w:basedOn w:val="ListParagraph"/>
    <w:qFormat/>
    <w:rsid w:val="00600B82"/>
    <w:pPr>
      <w:numPr>
        <w:numId w:val="10"/>
      </w:numPr>
      <w:spacing w:after="240" w:line="336" w:lineRule="auto"/>
      <w:contextualSpacing w:val="0"/>
    </w:pPr>
    <w:rPr>
      <w:rFonts w:ascii="Montreal-Regular" w:hAnsi="Montreal-Regular" w:cs="Calibri"/>
      <w:spacing w:val="8"/>
      <w:sz w:val="20"/>
    </w:rPr>
  </w:style>
  <w:style w:type="paragraph" w:styleId="ListParagraph">
    <w:name w:val="List Paragraph"/>
    <w:basedOn w:val="Normal"/>
    <w:uiPriority w:val="34"/>
    <w:qFormat/>
    <w:rsid w:val="00600B8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600B82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C9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H1">
    <w:name w:val="LP H1"/>
    <w:basedOn w:val="Normal"/>
    <w:next w:val="Normal"/>
    <w:qFormat/>
    <w:rsid w:val="00600B82"/>
    <w:pPr>
      <w:numPr>
        <w:numId w:val="9"/>
      </w:numPr>
      <w:pBdr>
        <w:bottom w:val="single" w:sz="12" w:space="11" w:color="84286B"/>
      </w:pBdr>
      <w:spacing w:before="240" w:after="240" w:line="336" w:lineRule="auto"/>
    </w:pPr>
    <w:rPr>
      <w:rFonts w:ascii="Montreal-Regular" w:hAnsi="Montreal-Regular" w:cs="Calibri"/>
      <w:color w:val="84286B"/>
      <w:spacing w:val="8"/>
      <w:sz w:val="48"/>
    </w:rPr>
  </w:style>
  <w:style w:type="paragraph" w:customStyle="1" w:styleId="LPH2">
    <w:name w:val="LP H2"/>
    <w:basedOn w:val="Normal"/>
    <w:qFormat/>
    <w:rsid w:val="00600B82"/>
    <w:pPr>
      <w:numPr>
        <w:ilvl w:val="1"/>
        <w:numId w:val="9"/>
      </w:numPr>
      <w:spacing w:after="240" w:line="336" w:lineRule="auto"/>
    </w:pPr>
    <w:rPr>
      <w:rFonts w:ascii="Montreal-Regular" w:hAnsi="Montreal-Regular" w:cs="Calibri"/>
      <w:spacing w:val="8"/>
      <w:sz w:val="20"/>
    </w:rPr>
  </w:style>
  <w:style w:type="paragraph" w:customStyle="1" w:styleId="LPH3">
    <w:name w:val="LP H3"/>
    <w:basedOn w:val="Normal"/>
    <w:qFormat/>
    <w:rsid w:val="00600B82"/>
    <w:pPr>
      <w:numPr>
        <w:ilvl w:val="2"/>
        <w:numId w:val="9"/>
      </w:numPr>
      <w:spacing w:after="240" w:line="336" w:lineRule="auto"/>
    </w:pPr>
    <w:rPr>
      <w:rFonts w:ascii="Montreal-Regular" w:hAnsi="Montreal-Regular" w:cs="Calibri"/>
      <w:spacing w:val="8"/>
      <w:sz w:val="20"/>
    </w:rPr>
  </w:style>
  <w:style w:type="paragraph" w:customStyle="1" w:styleId="LPH-Map">
    <w:name w:val="LP H-Map"/>
    <w:basedOn w:val="LPH3"/>
    <w:next w:val="Normal"/>
    <w:qFormat/>
    <w:rsid w:val="00600B82"/>
    <w:pPr>
      <w:numPr>
        <w:ilvl w:val="4"/>
      </w:numPr>
    </w:pPr>
    <w:rPr>
      <w:color w:val="84286B"/>
      <w:sz w:val="48"/>
    </w:rPr>
  </w:style>
  <w:style w:type="paragraph" w:customStyle="1" w:styleId="LPH-Small">
    <w:name w:val="LP H-Small"/>
    <w:next w:val="Normal"/>
    <w:qFormat/>
    <w:rsid w:val="00600B82"/>
    <w:rPr>
      <w:rFonts w:ascii="Montreal-DemiBold" w:hAnsi="Montreal-DemiBold" w:cs="Calibri"/>
      <w:color w:val="84286B"/>
      <w:spacing w:val="8"/>
      <w:sz w:val="20"/>
    </w:rPr>
  </w:style>
  <w:style w:type="paragraph" w:customStyle="1" w:styleId="LPBullet01">
    <w:name w:val="LP Bullet 01"/>
    <w:basedOn w:val="ListParagraph"/>
    <w:qFormat/>
    <w:rsid w:val="00600B82"/>
    <w:pPr>
      <w:numPr>
        <w:numId w:val="10"/>
      </w:numPr>
      <w:spacing w:after="240" w:line="336" w:lineRule="auto"/>
      <w:contextualSpacing w:val="0"/>
    </w:pPr>
    <w:rPr>
      <w:rFonts w:ascii="Montreal-Regular" w:hAnsi="Montreal-Regular" w:cs="Calibri"/>
      <w:spacing w:val="8"/>
      <w:sz w:val="20"/>
    </w:rPr>
  </w:style>
  <w:style w:type="paragraph" w:styleId="ListParagraph">
    <w:name w:val="List Paragraph"/>
    <w:basedOn w:val="Normal"/>
    <w:uiPriority w:val="34"/>
    <w:qFormat/>
    <w:rsid w:val="00600B82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600B82"/>
    <w:rPr>
      <w:smallCaps/>
      <w:color w:val="C0504D" w:themeColor="accent2"/>
      <w:u w:val="single"/>
    </w:rPr>
  </w:style>
  <w:style w:type="table" w:styleId="TableGrid">
    <w:name w:val="Table Grid"/>
    <w:basedOn w:val="TableNormal"/>
    <w:uiPriority w:val="59"/>
    <w:rsid w:val="00C9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7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Barber</dc:creator>
  <cp:lastModifiedBy>Dave Barber</cp:lastModifiedBy>
  <cp:revision>6</cp:revision>
  <dcterms:created xsi:type="dcterms:W3CDTF">2017-07-20T14:56:00Z</dcterms:created>
  <dcterms:modified xsi:type="dcterms:W3CDTF">2017-07-20T15:58:00Z</dcterms:modified>
</cp:coreProperties>
</file>