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48E" w:rsidRDefault="00501293" w:rsidP="00F0448E">
      <w:pPr>
        <w:spacing w:after="0" w:line="240" w:lineRule="auto"/>
        <w:rPr>
          <w:rFonts w:ascii="Arial" w:hAnsi="Arial" w:cs="Arial"/>
          <w:b/>
          <w:sz w:val="20"/>
          <w:szCs w:val="20"/>
        </w:rPr>
      </w:pPr>
      <w:r>
        <w:rPr>
          <w:rFonts w:ascii="Arial" w:hAnsi="Arial" w:cs="Arial"/>
          <w:b/>
          <w:sz w:val="20"/>
          <w:szCs w:val="20"/>
        </w:rPr>
        <w:t xml:space="preserve">WARWICK CIL – ADDITIONAL INFORMATION FOR EXAMINER </w:t>
      </w:r>
    </w:p>
    <w:p w:rsidR="00501293" w:rsidRDefault="00501293" w:rsidP="00F0448E">
      <w:pPr>
        <w:spacing w:after="0" w:line="240" w:lineRule="auto"/>
        <w:rPr>
          <w:rFonts w:ascii="Arial" w:hAnsi="Arial" w:cs="Arial"/>
          <w:b/>
          <w:sz w:val="20"/>
          <w:szCs w:val="20"/>
        </w:rPr>
      </w:pPr>
    </w:p>
    <w:p w:rsidR="00501293" w:rsidRPr="00B06680" w:rsidRDefault="00501293" w:rsidP="00F0448E">
      <w:pPr>
        <w:spacing w:after="0" w:line="240" w:lineRule="auto"/>
        <w:rPr>
          <w:rFonts w:ascii="Arial" w:hAnsi="Arial" w:cs="Arial"/>
          <w:sz w:val="20"/>
          <w:szCs w:val="20"/>
        </w:rPr>
      </w:pPr>
      <w:r w:rsidRPr="00B06680">
        <w:rPr>
          <w:rFonts w:ascii="Arial" w:hAnsi="Arial" w:cs="Arial"/>
          <w:sz w:val="20"/>
          <w:szCs w:val="20"/>
        </w:rPr>
        <w:t xml:space="preserve">During the examination in public on 6 July 2017, the Examiner requested additional information to assist him in his consideration of Warwick District Council, as follows:  </w:t>
      </w:r>
    </w:p>
    <w:p w:rsidR="00501293" w:rsidRPr="00B06680" w:rsidRDefault="00501293" w:rsidP="00F0448E">
      <w:pPr>
        <w:spacing w:after="0" w:line="240" w:lineRule="auto"/>
        <w:rPr>
          <w:rFonts w:ascii="Arial" w:hAnsi="Arial" w:cs="Arial"/>
          <w:sz w:val="20"/>
          <w:szCs w:val="20"/>
        </w:rPr>
      </w:pPr>
    </w:p>
    <w:p w:rsidR="00B06680" w:rsidRDefault="00B06680" w:rsidP="00501293">
      <w:pPr>
        <w:pStyle w:val="ListParagraph"/>
        <w:numPr>
          <w:ilvl w:val="0"/>
          <w:numId w:val="3"/>
        </w:numPr>
        <w:spacing w:after="0" w:line="240" w:lineRule="auto"/>
        <w:rPr>
          <w:rFonts w:ascii="Arial" w:hAnsi="Arial" w:cs="Arial"/>
          <w:sz w:val="20"/>
          <w:szCs w:val="20"/>
        </w:rPr>
      </w:pPr>
      <w:r>
        <w:rPr>
          <w:rFonts w:ascii="Arial" w:hAnsi="Arial" w:cs="Arial"/>
          <w:sz w:val="20"/>
          <w:szCs w:val="20"/>
        </w:rPr>
        <w:t>Justification for the assumed level of residual Section 106 obligations</w:t>
      </w:r>
    </w:p>
    <w:p w:rsidR="00501293" w:rsidRPr="00B06680" w:rsidRDefault="00501293" w:rsidP="00501293">
      <w:pPr>
        <w:pStyle w:val="ListParagraph"/>
        <w:numPr>
          <w:ilvl w:val="0"/>
          <w:numId w:val="3"/>
        </w:numPr>
        <w:spacing w:after="0" w:line="240" w:lineRule="auto"/>
        <w:rPr>
          <w:rFonts w:ascii="Arial" w:hAnsi="Arial" w:cs="Arial"/>
          <w:sz w:val="20"/>
          <w:szCs w:val="20"/>
        </w:rPr>
      </w:pPr>
      <w:r w:rsidRPr="00B06680">
        <w:rPr>
          <w:rFonts w:ascii="Arial" w:hAnsi="Arial" w:cs="Arial"/>
          <w:sz w:val="20"/>
          <w:szCs w:val="20"/>
        </w:rPr>
        <w:t>Additional appraisals of 150 and 250 units on greenfield and brownfield land</w:t>
      </w:r>
    </w:p>
    <w:p w:rsidR="00501293" w:rsidRPr="00B06680" w:rsidRDefault="00501293" w:rsidP="00501293">
      <w:pPr>
        <w:pStyle w:val="ListParagraph"/>
        <w:numPr>
          <w:ilvl w:val="0"/>
          <w:numId w:val="3"/>
        </w:numPr>
        <w:spacing w:after="0" w:line="240" w:lineRule="auto"/>
        <w:rPr>
          <w:rFonts w:ascii="Arial" w:hAnsi="Arial" w:cs="Arial"/>
          <w:sz w:val="20"/>
          <w:szCs w:val="20"/>
        </w:rPr>
      </w:pPr>
      <w:r w:rsidRPr="00B06680">
        <w:rPr>
          <w:rFonts w:ascii="Arial" w:hAnsi="Arial" w:cs="Arial"/>
          <w:sz w:val="20"/>
          <w:szCs w:val="20"/>
        </w:rPr>
        <w:t xml:space="preserve">Expanded version of Table 4.4.3 </w:t>
      </w:r>
    </w:p>
    <w:p w:rsidR="00501293" w:rsidRDefault="00501293" w:rsidP="00501293">
      <w:pPr>
        <w:pStyle w:val="ListParagraph"/>
        <w:numPr>
          <w:ilvl w:val="0"/>
          <w:numId w:val="3"/>
        </w:numPr>
        <w:spacing w:after="0" w:line="240" w:lineRule="auto"/>
        <w:rPr>
          <w:rFonts w:ascii="Arial" w:hAnsi="Arial" w:cs="Arial"/>
          <w:sz w:val="20"/>
          <w:szCs w:val="20"/>
        </w:rPr>
      </w:pPr>
      <w:r w:rsidRPr="00B06680">
        <w:rPr>
          <w:rFonts w:ascii="Arial" w:hAnsi="Arial" w:cs="Arial"/>
          <w:sz w:val="20"/>
          <w:szCs w:val="20"/>
        </w:rPr>
        <w:t>Viability model for older persons’ housing (30 to 50 units)</w:t>
      </w:r>
    </w:p>
    <w:p w:rsidR="00B06680" w:rsidRPr="00B06680" w:rsidRDefault="00B06680" w:rsidP="00501293">
      <w:pPr>
        <w:pStyle w:val="ListParagraph"/>
        <w:numPr>
          <w:ilvl w:val="0"/>
          <w:numId w:val="3"/>
        </w:numPr>
        <w:spacing w:after="0" w:line="240" w:lineRule="auto"/>
        <w:rPr>
          <w:rFonts w:ascii="Arial" w:hAnsi="Arial" w:cs="Arial"/>
          <w:sz w:val="20"/>
          <w:szCs w:val="20"/>
        </w:rPr>
      </w:pPr>
      <w:r>
        <w:rPr>
          <w:rFonts w:ascii="Arial" w:hAnsi="Arial" w:cs="Arial"/>
          <w:sz w:val="20"/>
          <w:szCs w:val="20"/>
        </w:rPr>
        <w:t>Review of definitions of retail use</w:t>
      </w:r>
    </w:p>
    <w:p w:rsidR="00501293" w:rsidRDefault="00501293" w:rsidP="00B06680">
      <w:pPr>
        <w:spacing w:after="0" w:line="240" w:lineRule="auto"/>
        <w:rPr>
          <w:rFonts w:ascii="Arial" w:hAnsi="Arial" w:cs="Arial"/>
          <w:sz w:val="20"/>
          <w:szCs w:val="20"/>
        </w:rPr>
      </w:pPr>
    </w:p>
    <w:p w:rsidR="00B06680" w:rsidRDefault="00B06680" w:rsidP="00B06680">
      <w:pPr>
        <w:spacing w:after="0" w:line="240" w:lineRule="auto"/>
        <w:rPr>
          <w:rFonts w:ascii="Arial" w:hAnsi="Arial" w:cs="Arial"/>
          <w:sz w:val="20"/>
          <w:szCs w:val="20"/>
        </w:rPr>
      </w:pPr>
      <w:r>
        <w:rPr>
          <w:rFonts w:ascii="Arial" w:hAnsi="Arial" w:cs="Arial"/>
          <w:sz w:val="20"/>
          <w:szCs w:val="20"/>
        </w:rPr>
        <w:t xml:space="preserve">This note addresses points 2 to 4.  </w:t>
      </w:r>
    </w:p>
    <w:p w:rsidR="00B06680" w:rsidRDefault="00B06680" w:rsidP="00B06680">
      <w:pPr>
        <w:spacing w:after="0" w:line="240" w:lineRule="auto"/>
        <w:rPr>
          <w:rFonts w:ascii="Arial" w:hAnsi="Arial" w:cs="Arial"/>
          <w:sz w:val="20"/>
          <w:szCs w:val="20"/>
        </w:rPr>
      </w:pPr>
    </w:p>
    <w:p w:rsidR="00B06680" w:rsidRPr="00B06680" w:rsidRDefault="00B06680" w:rsidP="00B06680">
      <w:pPr>
        <w:spacing w:after="0" w:line="240" w:lineRule="auto"/>
        <w:rPr>
          <w:rFonts w:ascii="Arial" w:hAnsi="Arial" w:cs="Arial"/>
          <w:b/>
          <w:sz w:val="20"/>
          <w:szCs w:val="20"/>
        </w:rPr>
      </w:pPr>
      <w:r>
        <w:rPr>
          <w:rFonts w:ascii="Arial" w:hAnsi="Arial" w:cs="Arial"/>
          <w:b/>
          <w:sz w:val="20"/>
          <w:szCs w:val="20"/>
        </w:rPr>
        <w:t>2.</w:t>
      </w:r>
      <w:r>
        <w:rPr>
          <w:rFonts w:ascii="Arial" w:hAnsi="Arial" w:cs="Arial"/>
          <w:b/>
          <w:sz w:val="20"/>
          <w:szCs w:val="20"/>
        </w:rPr>
        <w:tab/>
      </w:r>
      <w:r w:rsidRPr="00B06680">
        <w:rPr>
          <w:rFonts w:ascii="Arial" w:hAnsi="Arial" w:cs="Arial"/>
          <w:b/>
          <w:sz w:val="20"/>
          <w:szCs w:val="20"/>
        </w:rPr>
        <w:t xml:space="preserve">Additional appraisals of 150 and 250 units on </w:t>
      </w:r>
      <w:proofErr w:type="gramStart"/>
      <w:r w:rsidRPr="00B06680">
        <w:rPr>
          <w:rFonts w:ascii="Arial" w:hAnsi="Arial" w:cs="Arial"/>
          <w:b/>
          <w:sz w:val="20"/>
          <w:szCs w:val="20"/>
        </w:rPr>
        <w:t>greenfield</w:t>
      </w:r>
      <w:proofErr w:type="gramEnd"/>
      <w:r w:rsidRPr="00B06680">
        <w:rPr>
          <w:rFonts w:ascii="Arial" w:hAnsi="Arial" w:cs="Arial"/>
          <w:b/>
          <w:sz w:val="20"/>
          <w:szCs w:val="20"/>
        </w:rPr>
        <w:t xml:space="preserve"> and brownfield land </w:t>
      </w:r>
    </w:p>
    <w:p w:rsidR="00B06680" w:rsidRPr="00B06680" w:rsidRDefault="00B06680" w:rsidP="00B06680">
      <w:pPr>
        <w:spacing w:after="0" w:line="240" w:lineRule="auto"/>
        <w:rPr>
          <w:rFonts w:ascii="Arial" w:hAnsi="Arial" w:cs="Arial"/>
          <w:sz w:val="20"/>
          <w:szCs w:val="20"/>
        </w:rPr>
      </w:pPr>
      <w:r>
        <w:rPr>
          <w:rFonts w:ascii="Arial" w:hAnsi="Arial" w:cs="Arial"/>
          <w:sz w:val="20"/>
          <w:szCs w:val="20"/>
        </w:rPr>
        <w:t xml:space="preserve"> </w:t>
      </w:r>
    </w:p>
    <w:p w:rsidR="00B61CC8" w:rsidRDefault="002652E8" w:rsidP="002652E8">
      <w:pPr>
        <w:spacing w:after="0" w:line="240" w:lineRule="auto"/>
        <w:ind w:left="720"/>
        <w:rPr>
          <w:rFonts w:ascii="Arial" w:hAnsi="Arial" w:cs="Arial"/>
          <w:sz w:val="20"/>
          <w:szCs w:val="20"/>
        </w:rPr>
      </w:pPr>
      <w:r>
        <w:rPr>
          <w:rFonts w:ascii="Arial" w:hAnsi="Arial" w:cs="Arial"/>
          <w:sz w:val="20"/>
          <w:szCs w:val="20"/>
        </w:rPr>
        <w:t xml:space="preserve">The results of our additional appraisals are attached as Appendix 1.  These appraisals reflect the inputs adopted in the main Viability Study, with the exception of the following:  </w:t>
      </w:r>
    </w:p>
    <w:p w:rsidR="002652E8" w:rsidRDefault="002652E8" w:rsidP="002652E8">
      <w:pPr>
        <w:spacing w:after="0" w:line="240" w:lineRule="auto"/>
        <w:ind w:left="720"/>
        <w:rPr>
          <w:rFonts w:ascii="Arial" w:hAnsi="Arial" w:cs="Arial"/>
          <w:sz w:val="20"/>
          <w:szCs w:val="20"/>
        </w:rPr>
      </w:pPr>
    </w:p>
    <w:p w:rsidR="003F5BF8" w:rsidRDefault="002652E8" w:rsidP="002652E8">
      <w:pPr>
        <w:pStyle w:val="ListParagraph"/>
        <w:numPr>
          <w:ilvl w:val="0"/>
          <w:numId w:val="5"/>
        </w:numPr>
        <w:spacing w:after="0" w:line="240" w:lineRule="auto"/>
        <w:rPr>
          <w:rFonts w:ascii="Arial" w:hAnsi="Arial" w:cs="Arial"/>
          <w:sz w:val="20"/>
          <w:szCs w:val="20"/>
        </w:rPr>
      </w:pPr>
      <w:r>
        <w:rPr>
          <w:rFonts w:ascii="Arial" w:hAnsi="Arial" w:cs="Arial"/>
          <w:sz w:val="20"/>
          <w:szCs w:val="20"/>
        </w:rPr>
        <w:t>Extended build period</w:t>
      </w:r>
      <w:r w:rsidR="003F5BF8">
        <w:rPr>
          <w:rFonts w:ascii="Arial" w:hAnsi="Arial" w:cs="Arial"/>
          <w:sz w:val="20"/>
          <w:szCs w:val="20"/>
        </w:rPr>
        <w:t xml:space="preserve"> of 30 months for 150 unit schemes and 36 months for 200 unit schemes; </w:t>
      </w:r>
    </w:p>
    <w:p w:rsidR="003F5BF8" w:rsidRDefault="003F5BF8" w:rsidP="002652E8">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Extended sales period of 30 months for 150 unit schemes and 36 months for 200 unit schemes;  </w:t>
      </w:r>
    </w:p>
    <w:p w:rsidR="003F5BF8" w:rsidRDefault="003F5BF8" w:rsidP="002652E8">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Unit mix of 30% two beds, 50% three beds and 20% four beds for greenfield sites, with a density of 35 units per hectare; </w:t>
      </w:r>
    </w:p>
    <w:p w:rsidR="003F5BF8" w:rsidRDefault="003F5BF8" w:rsidP="002652E8">
      <w:pPr>
        <w:pStyle w:val="ListParagraph"/>
        <w:numPr>
          <w:ilvl w:val="0"/>
          <w:numId w:val="5"/>
        </w:numPr>
        <w:spacing w:after="0" w:line="240" w:lineRule="auto"/>
        <w:rPr>
          <w:rFonts w:ascii="Arial" w:hAnsi="Arial" w:cs="Arial"/>
          <w:sz w:val="20"/>
          <w:szCs w:val="20"/>
        </w:rPr>
      </w:pPr>
      <w:r>
        <w:rPr>
          <w:rFonts w:ascii="Arial" w:hAnsi="Arial" w:cs="Arial"/>
          <w:sz w:val="20"/>
          <w:szCs w:val="20"/>
        </w:rPr>
        <w:t xml:space="preserve">Unit mix of 20% one bed flats, 40% two bed flats, 35% three bed houses and 5% four bed houses, with a density of 40 units per hectare.  </w:t>
      </w:r>
    </w:p>
    <w:p w:rsidR="003F5BF8" w:rsidRDefault="003F5BF8" w:rsidP="003F5BF8">
      <w:pPr>
        <w:spacing w:after="0" w:line="240" w:lineRule="auto"/>
        <w:ind w:left="720"/>
        <w:rPr>
          <w:rFonts w:ascii="Arial" w:hAnsi="Arial" w:cs="Arial"/>
          <w:sz w:val="20"/>
          <w:szCs w:val="20"/>
        </w:rPr>
      </w:pPr>
    </w:p>
    <w:p w:rsidR="003F5BF8" w:rsidRDefault="003F5BF8" w:rsidP="003F5BF8">
      <w:pPr>
        <w:spacing w:after="0" w:line="240" w:lineRule="auto"/>
        <w:ind w:left="720"/>
        <w:rPr>
          <w:rFonts w:ascii="Arial" w:hAnsi="Arial" w:cs="Arial"/>
          <w:sz w:val="20"/>
          <w:szCs w:val="20"/>
        </w:rPr>
      </w:pPr>
      <w:r>
        <w:rPr>
          <w:rFonts w:ascii="Arial" w:hAnsi="Arial" w:cs="Arial"/>
          <w:sz w:val="20"/>
          <w:szCs w:val="20"/>
        </w:rPr>
        <w:t xml:space="preserve">These appraisals indicate that the capacity of sites of this scale to absorb the proposed CIL rates is no different to that of the other sites tested in the Viability Study.  </w:t>
      </w:r>
    </w:p>
    <w:p w:rsidR="002652E8" w:rsidRPr="003F5BF8" w:rsidRDefault="002652E8" w:rsidP="003F5BF8">
      <w:pPr>
        <w:spacing w:after="0" w:line="240" w:lineRule="auto"/>
        <w:ind w:left="720"/>
        <w:rPr>
          <w:rFonts w:ascii="Arial" w:hAnsi="Arial" w:cs="Arial"/>
          <w:sz w:val="20"/>
          <w:szCs w:val="20"/>
        </w:rPr>
      </w:pPr>
      <w:r w:rsidRPr="003F5BF8">
        <w:rPr>
          <w:rFonts w:ascii="Arial" w:hAnsi="Arial" w:cs="Arial"/>
          <w:sz w:val="20"/>
          <w:szCs w:val="20"/>
        </w:rPr>
        <w:t xml:space="preserve"> </w:t>
      </w:r>
    </w:p>
    <w:p w:rsidR="00B61CC8" w:rsidRPr="00B06680" w:rsidRDefault="00B06680" w:rsidP="00F0448E">
      <w:pPr>
        <w:spacing w:after="0" w:line="240" w:lineRule="auto"/>
        <w:rPr>
          <w:rFonts w:ascii="Arial" w:hAnsi="Arial" w:cs="Arial"/>
          <w:b/>
          <w:sz w:val="20"/>
          <w:szCs w:val="20"/>
        </w:rPr>
      </w:pPr>
      <w:r>
        <w:rPr>
          <w:rFonts w:ascii="Arial" w:hAnsi="Arial" w:cs="Arial"/>
          <w:b/>
          <w:sz w:val="20"/>
          <w:szCs w:val="20"/>
        </w:rPr>
        <w:t>3.</w:t>
      </w:r>
      <w:r>
        <w:rPr>
          <w:rFonts w:ascii="Arial" w:hAnsi="Arial" w:cs="Arial"/>
          <w:b/>
          <w:sz w:val="20"/>
          <w:szCs w:val="20"/>
        </w:rPr>
        <w:tab/>
      </w:r>
      <w:r w:rsidRPr="00B06680">
        <w:rPr>
          <w:rFonts w:ascii="Arial" w:hAnsi="Arial" w:cs="Arial"/>
          <w:b/>
          <w:sz w:val="20"/>
          <w:szCs w:val="20"/>
        </w:rPr>
        <w:t>Expanded version of Table 4.4.3</w:t>
      </w:r>
    </w:p>
    <w:p w:rsidR="00B06680" w:rsidRDefault="00B06680" w:rsidP="00F0448E">
      <w:pPr>
        <w:spacing w:after="0" w:line="240" w:lineRule="auto"/>
        <w:rPr>
          <w:rFonts w:ascii="Arial" w:hAnsi="Arial" w:cs="Arial"/>
          <w:sz w:val="20"/>
          <w:szCs w:val="20"/>
        </w:rPr>
      </w:pPr>
    </w:p>
    <w:p w:rsidR="00B06680" w:rsidRDefault="00B06680" w:rsidP="00B06680">
      <w:pPr>
        <w:spacing w:after="0" w:line="240" w:lineRule="auto"/>
        <w:ind w:left="720"/>
        <w:rPr>
          <w:rFonts w:ascii="Arial" w:hAnsi="Arial" w:cs="Arial"/>
          <w:sz w:val="20"/>
          <w:szCs w:val="20"/>
        </w:rPr>
      </w:pPr>
      <w:r>
        <w:rPr>
          <w:rFonts w:ascii="Arial" w:hAnsi="Arial" w:cs="Arial"/>
          <w:sz w:val="20"/>
          <w:szCs w:val="20"/>
        </w:rPr>
        <w:t xml:space="preserve">We provide the ranges of achieved sales values (maximum, average and minimum) in the table below.  </w:t>
      </w:r>
    </w:p>
    <w:p w:rsidR="00B06680" w:rsidRDefault="00B06680" w:rsidP="00B06680">
      <w:pPr>
        <w:spacing w:after="0" w:line="240" w:lineRule="auto"/>
        <w:ind w:left="720"/>
        <w:rPr>
          <w:rFonts w:ascii="Arial" w:hAnsi="Arial" w:cs="Arial"/>
          <w:sz w:val="20"/>
          <w:szCs w:val="20"/>
        </w:rPr>
      </w:pPr>
    </w:p>
    <w:p w:rsidR="00B06680" w:rsidRPr="00B06680" w:rsidRDefault="00B06680" w:rsidP="00B06680">
      <w:pPr>
        <w:spacing w:after="0" w:line="240" w:lineRule="auto"/>
        <w:ind w:left="720"/>
        <w:rPr>
          <w:rFonts w:ascii="Arial" w:hAnsi="Arial" w:cs="Arial"/>
          <w:b/>
          <w:sz w:val="20"/>
          <w:szCs w:val="20"/>
        </w:rPr>
      </w:pPr>
      <w:r w:rsidRPr="00B06680">
        <w:rPr>
          <w:rFonts w:ascii="Arial" w:hAnsi="Arial" w:cs="Arial"/>
          <w:b/>
          <w:sz w:val="20"/>
          <w:szCs w:val="20"/>
        </w:rPr>
        <w:t>Expanded Table 4.4.3</w:t>
      </w:r>
    </w:p>
    <w:p w:rsidR="00B06680" w:rsidRDefault="00B06680" w:rsidP="00B06680">
      <w:pPr>
        <w:spacing w:after="0" w:line="240" w:lineRule="auto"/>
        <w:ind w:left="720"/>
        <w:rPr>
          <w:rFonts w:ascii="Arial" w:hAnsi="Arial" w:cs="Arial"/>
          <w:sz w:val="20"/>
          <w:szCs w:val="20"/>
        </w:rPr>
      </w:pPr>
    </w:p>
    <w:tbl>
      <w:tblPr>
        <w:tblW w:w="680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276"/>
        <w:gridCol w:w="992"/>
        <w:gridCol w:w="1134"/>
      </w:tblGrid>
      <w:tr w:rsidR="00B06680" w:rsidRPr="00B06680" w:rsidTr="00B06680">
        <w:trPr>
          <w:trHeight w:val="255"/>
        </w:trPr>
        <w:tc>
          <w:tcPr>
            <w:tcW w:w="3402" w:type="dxa"/>
            <w:shd w:val="clear" w:color="auto" w:fill="004231"/>
            <w:noWrap/>
            <w:vAlign w:val="bottom"/>
          </w:tcPr>
          <w:p w:rsidR="00B06680" w:rsidRPr="00B06680" w:rsidRDefault="00B06680" w:rsidP="00B06680">
            <w:pPr>
              <w:spacing w:before="60" w:after="6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Area </w:t>
            </w:r>
          </w:p>
        </w:tc>
        <w:tc>
          <w:tcPr>
            <w:tcW w:w="1276" w:type="dxa"/>
            <w:shd w:val="clear" w:color="auto" w:fill="004231"/>
            <w:noWrap/>
            <w:vAlign w:val="bottom"/>
          </w:tcPr>
          <w:p w:rsidR="00B06680" w:rsidRPr="00B06680" w:rsidRDefault="00B06680" w:rsidP="00B06680">
            <w:pPr>
              <w:spacing w:before="60" w:after="6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Maximum </w:t>
            </w:r>
          </w:p>
        </w:tc>
        <w:tc>
          <w:tcPr>
            <w:tcW w:w="992" w:type="dxa"/>
            <w:shd w:val="clear" w:color="auto" w:fill="004231"/>
            <w:noWrap/>
            <w:vAlign w:val="bottom"/>
          </w:tcPr>
          <w:p w:rsidR="00B06680" w:rsidRPr="00B06680" w:rsidRDefault="00B06680" w:rsidP="00B06680">
            <w:pPr>
              <w:spacing w:before="60" w:after="6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Average </w:t>
            </w:r>
          </w:p>
        </w:tc>
        <w:tc>
          <w:tcPr>
            <w:tcW w:w="1134" w:type="dxa"/>
            <w:shd w:val="clear" w:color="auto" w:fill="004231"/>
            <w:noWrap/>
            <w:vAlign w:val="bottom"/>
          </w:tcPr>
          <w:p w:rsidR="00B06680" w:rsidRPr="00B06680" w:rsidRDefault="00B06680" w:rsidP="00B06680">
            <w:pPr>
              <w:spacing w:before="60" w:after="6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 xml:space="preserve">Minimum </w:t>
            </w:r>
          </w:p>
        </w:tc>
      </w:tr>
      <w:tr w:rsidR="00B06680" w:rsidRPr="00B06680" w:rsidTr="00B06680">
        <w:trPr>
          <w:trHeight w:val="255"/>
        </w:trPr>
        <w:tc>
          <w:tcPr>
            <w:tcW w:w="3402" w:type="dxa"/>
            <w:shd w:val="clear" w:color="auto" w:fill="auto"/>
            <w:noWrap/>
            <w:vAlign w:val="bottom"/>
            <w:hideMark/>
          </w:tcPr>
          <w:p w:rsidR="00B06680" w:rsidRPr="00B06680" w:rsidRDefault="00B06680" w:rsidP="00B06680">
            <w:pPr>
              <w:spacing w:before="60" w:after="60" w:line="240" w:lineRule="auto"/>
              <w:rPr>
                <w:rFonts w:ascii="Arial" w:eastAsia="Times New Roman" w:hAnsi="Arial" w:cs="Arial"/>
                <w:sz w:val="20"/>
                <w:szCs w:val="20"/>
                <w:lang w:eastAsia="en-GB"/>
              </w:rPr>
            </w:pPr>
            <w:r w:rsidRPr="00B06680">
              <w:rPr>
                <w:rFonts w:ascii="Arial" w:eastAsia="Times New Roman" w:hAnsi="Arial" w:cs="Arial"/>
                <w:sz w:val="20"/>
                <w:szCs w:val="20"/>
                <w:lang w:eastAsia="en-GB"/>
              </w:rPr>
              <w:t>Warwick &amp; East Leamington Spa</w:t>
            </w:r>
          </w:p>
        </w:tc>
        <w:tc>
          <w:tcPr>
            <w:tcW w:w="1276" w:type="dxa"/>
            <w:shd w:val="clear" w:color="auto" w:fill="auto"/>
            <w:noWrap/>
            <w:vAlign w:val="bottom"/>
            <w:hideMark/>
          </w:tcPr>
          <w:p w:rsidR="00B06680" w:rsidRPr="00B06680" w:rsidRDefault="00B06680" w:rsidP="00B06680">
            <w:pPr>
              <w:spacing w:before="60" w:after="60" w:line="240" w:lineRule="auto"/>
              <w:jc w:val="right"/>
              <w:rPr>
                <w:rFonts w:ascii="Arial" w:eastAsia="Times New Roman" w:hAnsi="Arial" w:cs="Arial"/>
                <w:sz w:val="20"/>
                <w:szCs w:val="20"/>
                <w:lang w:eastAsia="en-GB"/>
              </w:rPr>
            </w:pPr>
            <w:r w:rsidRPr="00B06680">
              <w:rPr>
                <w:rFonts w:ascii="Arial" w:eastAsia="Times New Roman" w:hAnsi="Arial" w:cs="Arial"/>
                <w:sz w:val="20"/>
                <w:szCs w:val="20"/>
                <w:lang w:eastAsia="en-GB"/>
              </w:rPr>
              <w:t>£5,198</w:t>
            </w:r>
          </w:p>
        </w:tc>
        <w:tc>
          <w:tcPr>
            <w:tcW w:w="992" w:type="dxa"/>
            <w:shd w:val="clear" w:color="auto" w:fill="auto"/>
            <w:noWrap/>
            <w:vAlign w:val="bottom"/>
            <w:hideMark/>
          </w:tcPr>
          <w:p w:rsidR="00B06680" w:rsidRPr="00B06680" w:rsidRDefault="00B06680" w:rsidP="00B06680">
            <w:pPr>
              <w:spacing w:before="60" w:after="60" w:line="240" w:lineRule="auto"/>
              <w:jc w:val="right"/>
              <w:rPr>
                <w:rFonts w:ascii="Arial" w:eastAsia="Times New Roman" w:hAnsi="Arial" w:cs="Arial"/>
                <w:sz w:val="20"/>
                <w:szCs w:val="20"/>
                <w:lang w:eastAsia="en-GB"/>
              </w:rPr>
            </w:pPr>
            <w:r w:rsidRPr="00B06680">
              <w:rPr>
                <w:rFonts w:ascii="Arial" w:eastAsia="Times New Roman" w:hAnsi="Arial" w:cs="Arial"/>
                <w:sz w:val="20"/>
                <w:szCs w:val="20"/>
                <w:lang w:eastAsia="en-GB"/>
              </w:rPr>
              <w:t>£3,073</w:t>
            </w:r>
          </w:p>
        </w:tc>
        <w:tc>
          <w:tcPr>
            <w:tcW w:w="1134" w:type="dxa"/>
            <w:shd w:val="clear" w:color="auto" w:fill="auto"/>
            <w:noWrap/>
            <w:vAlign w:val="bottom"/>
            <w:hideMark/>
          </w:tcPr>
          <w:p w:rsidR="00B06680" w:rsidRPr="00B06680" w:rsidRDefault="00B06680" w:rsidP="00B06680">
            <w:pPr>
              <w:spacing w:before="60" w:after="60" w:line="240" w:lineRule="auto"/>
              <w:jc w:val="right"/>
              <w:rPr>
                <w:rFonts w:ascii="Arial" w:eastAsia="Times New Roman" w:hAnsi="Arial" w:cs="Arial"/>
                <w:sz w:val="20"/>
                <w:szCs w:val="20"/>
                <w:lang w:eastAsia="en-GB"/>
              </w:rPr>
            </w:pPr>
            <w:r w:rsidRPr="00B06680">
              <w:rPr>
                <w:rFonts w:ascii="Arial" w:eastAsia="Times New Roman" w:hAnsi="Arial" w:cs="Arial"/>
                <w:sz w:val="20"/>
                <w:szCs w:val="20"/>
                <w:lang w:eastAsia="en-GB"/>
              </w:rPr>
              <w:t>£2,319</w:t>
            </w:r>
          </w:p>
        </w:tc>
      </w:tr>
      <w:tr w:rsidR="00B06680" w:rsidRPr="00B06680" w:rsidTr="00B06680">
        <w:trPr>
          <w:trHeight w:val="255"/>
        </w:trPr>
        <w:tc>
          <w:tcPr>
            <w:tcW w:w="3402" w:type="dxa"/>
            <w:shd w:val="clear" w:color="auto" w:fill="CCD6D9"/>
            <w:noWrap/>
            <w:vAlign w:val="bottom"/>
            <w:hideMark/>
          </w:tcPr>
          <w:p w:rsidR="00B06680" w:rsidRPr="00B06680" w:rsidRDefault="00B06680" w:rsidP="00B06680">
            <w:pPr>
              <w:spacing w:before="60" w:after="60" w:line="240" w:lineRule="auto"/>
              <w:rPr>
                <w:rFonts w:ascii="Arial" w:eastAsia="Times New Roman" w:hAnsi="Arial" w:cs="Arial"/>
                <w:sz w:val="20"/>
                <w:szCs w:val="20"/>
                <w:lang w:eastAsia="en-GB"/>
              </w:rPr>
            </w:pPr>
            <w:r w:rsidRPr="00B06680">
              <w:rPr>
                <w:rFonts w:ascii="Arial" w:eastAsia="Times New Roman" w:hAnsi="Arial" w:cs="Arial"/>
                <w:sz w:val="20"/>
                <w:szCs w:val="20"/>
                <w:lang w:eastAsia="en-GB"/>
              </w:rPr>
              <w:t xml:space="preserve">Most of Leamington Spa </w:t>
            </w:r>
          </w:p>
        </w:tc>
        <w:tc>
          <w:tcPr>
            <w:tcW w:w="1276" w:type="dxa"/>
            <w:shd w:val="clear" w:color="auto" w:fill="CCD6D9"/>
            <w:noWrap/>
            <w:vAlign w:val="bottom"/>
            <w:hideMark/>
          </w:tcPr>
          <w:p w:rsidR="00B06680" w:rsidRPr="00B06680" w:rsidRDefault="00B06680" w:rsidP="00B06680">
            <w:pPr>
              <w:spacing w:before="60" w:after="60" w:line="240" w:lineRule="auto"/>
              <w:jc w:val="right"/>
              <w:rPr>
                <w:rFonts w:ascii="Arial" w:eastAsia="Times New Roman" w:hAnsi="Arial" w:cs="Arial"/>
                <w:sz w:val="20"/>
                <w:szCs w:val="20"/>
                <w:lang w:eastAsia="en-GB"/>
              </w:rPr>
            </w:pPr>
            <w:r w:rsidRPr="00B06680">
              <w:rPr>
                <w:rFonts w:ascii="Arial" w:eastAsia="Times New Roman" w:hAnsi="Arial" w:cs="Arial"/>
                <w:sz w:val="20"/>
                <w:szCs w:val="20"/>
                <w:lang w:eastAsia="en-GB"/>
              </w:rPr>
              <w:t>£4,120</w:t>
            </w:r>
          </w:p>
        </w:tc>
        <w:tc>
          <w:tcPr>
            <w:tcW w:w="992" w:type="dxa"/>
            <w:shd w:val="clear" w:color="auto" w:fill="CCD6D9"/>
            <w:noWrap/>
            <w:vAlign w:val="bottom"/>
            <w:hideMark/>
          </w:tcPr>
          <w:p w:rsidR="00B06680" w:rsidRPr="00B06680" w:rsidRDefault="00B06680" w:rsidP="00B06680">
            <w:pPr>
              <w:spacing w:before="60" w:after="60" w:line="240" w:lineRule="auto"/>
              <w:jc w:val="right"/>
              <w:rPr>
                <w:rFonts w:ascii="Arial" w:eastAsia="Times New Roman" w:hAnsi="Arial" w:cs="Arial"/>
                <w:sz w:val="20"/>
                <w:szCs w:val="20"/>
                <w:lang w:eastAsia="en-GB"/>
              </w:rPr>
            </w:pPr>
            <w:r w:rsidRPr="00B06680">
              <w:rPr>
                <w:rFonts w:ascii="Arial" w:eastAsia="Times New Roman" w:hAnsi="Arial" w:cs="Arial"/>
                <w:sz w:val="20"/>
                <w:szCs w:val="20"/>
                <w:lang w:eastAsia="en-GB"/>
              </w:rPr>
              <w:t>£3,971</w:t>
            </w:r>
          </w:p>
        </w:tc>
        <w:tc>
          <w:tcPr>
            <w:tcW w:w="1134" w:type="dxa"/>
            <w:shd w:val="clear" w:color="auto" w:fill="CCD6D9"/>
            <w:noWrap/>
            <w:vAlign w:val="bottom"/>
            <w:hideMark/>
          </w:tcPr>
          <w:p w:rsidR="00B06680" w:rsidRPr="00B06680" w:rsidRDefault="00B06680" w:rsidP="00B06680">
            <w:pPr>
              <w:spacing w:before="60" w:after="60" w:line="240" w:lineRule="auto"/>
              <w:jc w:val="right"/>
              <w:rPr>
                <w:rFonts w:ascii="Arial" w:eastAsia="Times New Roman" w:hAnsi="Arial" w:cs="Arial"/>
                <w:sz w:val="20"/>
                <w:szCs w:val="20"/>
                <w:lang w:eastAsia="en-GB"/>
              </w:rPr>
            </w:pPr>
            <w:r w:rsidRPr="00B06680">
              <w:rPr>
                <w:rFonts w:ascii="Arial" w:eastAsia="Times New Roman" w:hAnsi="Arial" w:cs="Arial"/>
                <w:sz w:val="20"/>
                <w:szCs w:val="20"/>
                <w:lang w:eastAsia="en-GB"/>
              </w:rPr>
              <w:t>£3,936</w:t>
            </w:r>
          </w:p>
        </w:tc>
      </w:tr>
      <w:tr w:rsidR="00B06680" w:rsidRPr="00B06680" w:rsidTr="00B06680">
        <w:trPr>
          <w:trHeight w:val="255"/>
        </w:trPr>
        <w:tc>
          <w:tcPr>
            <w:tcW w:w="3402" w:type="dxa"/>
            <w:shd w:val="clear" w:color="auto" w:fill="auto"/>
            <w:noWrap/>
            <w:vAlign w:val="bottom"/>
            <w:hideMark/>
          </w:tcPr>
          <w:p w:rsidR="00B06680" w:rsidRPr="00B06680" w:rsidRDefault="00B06680" w:rsidP="00B06680">
            <w:pPr>
              <w:spacing w:before="60" w:after="60" w:line="240" w:lineRule="auto"/>
              <w:rPr>
                <w:rFonts w:ascii="Arial" w:eastAsia="Times New Roman" w:hAnsi="Arial" w:cs="Arial"/>
                <w:sz w:val="20"/>
                <w:szCs w:val="20"/>
                <w:lang w:eastAsia="en-GB"/>
              </w:rPr>
            </w:pPr>
            <w:r w:rsidRPr="00B06680">
              <w:rPr>
                <w:rFonts w:ascii="Arial" w:eastAsia="Times New Roman" w:hAnsi="Arial" w:cs="Arial"/>
                <w:sz w:val="20"/>
                <w:szCs w:val="20"/>
                <w:lang w:eastAsia="en-GB"/>
              </w:rPr>
              <w:t xml:space="preserve">Kenilworth </w:t>
            </w:r>
          </w:p>
        </w:tc>
        <w:tc>
          <w:tcPr>
            <w:tcW w:w="1276" w:type="dxa"/>
            <w:shd w:val="clear" w:color="auto" w:fill="auto"/>
            <w:noWrap/>
            <w:vAlign w:val="bottom"/>
            <w:hideMark/>
          </w:tcPr>
          <w:p w:rsidR="00B06680" w:rsidRPr="00B06680" w:rsidRDefault="00B06680" w:rsidP="00B06680">
            <w:pPr>
              <w:spacing w:before="60" w:after="60" w:line="240" w:lineRule="auto"/>
              <w:jc w:val="right"/>
              <w:rPr>
                <w:rFonts w:ascii="Arial" w:eastAsia="Times New Roman" w:hAnsi="Arial" w:cs="Arial"/>
                <w:sz w:val="20"/>
                <w:szCs w:val="20"/>
                <w:lang w:eastAsia="en-GB"/>
              </w:rPr>
            </w:pPr>
            <w:r w:rsidRPr="00B06680">
              <w:rPr>
                <w:rFonts w:ascii="Arial" w:eastAsia="Times New Roman" w:hAnsi="Arial" w:cs="Arial"/>
                <w:sz w:val="20"/>
                <w:szCs w:val="20"/>
                <w:lang w:eastAsia="en-GB"/>
              </w:rPr>
              <w:t>£5,006</w:t>
            </w:r>
          </w:p>
        </w:tc>
        <w:tc>
          <w:tcPr>
            <w:tcW w:w="992" w:type="dxa"/>
            <w:shd w:val="clear" w:color="auto" w:fill="auto"/>
            <w:noWrap/>
            <w:vAlign w:val="bottom"/>
            <w:hideMark/>
          </w:tcPr>
          <w:p w:rsidR="00B06680" w:rsidRPr="00B06680" w:rsidRDefault="00B06680" w:rsidP="00B06680">
            <w:pPr>
              <w:spacing w:before="60" w:after="60" w:line="240" w:lineRule="auto"/>
              <w:jc w:val="right"/>
              <w:rPr>
                <w:rFonts w:ascii="Arial" w:eastAsia="Times New Roman" w:hAnsi="Arial" w:cs="Arial"/>
                <w:sz w:val="20"/>
                <w:szCs w:val="20"/>
                <w:lang w:eastAsia="en-GB"/>
              </w:rPr>
            </w:pPr>
            <w:r w:rsidRPr="00B06680">
              <w:rPr>
                <w:rFonts w:ascii="Arial" w:eastAsia="Times New Roman" w:hAnsi="Arial" w:cs="Arial"/>
                <w:sz w:val="20"/>
                <w:szCs w:val="20"/>
                <w:lang w:eastAsia="en-GB"/>
              </w:rPr>
              <w:t>£3,584</w:t>
            </w:r>
          </w:p>
        </w:tc>
        <w:tc>
          <w:tcPr>
            <w:tcW w:w="1134" w:type="dxa"/>
            <w:shd w:val="clear" w:color="auto" w:fill="auto"/>
            <w:noWrap/>
            <w:vAlign w:val="bottom"/>
            <w:hideMark/>
          </w:tcPr>
          <w:p w:rsidR="00B06680" w:rsidRPr="00B06680" w:rsidRDefault="00B06680" w:rsidP="00B06680">
            <w:pPr>
              <w:spacing w:before="60" w:after="60" w:line="240" w:lineRule="auto"/>
              <w:jc w:val="right"/>
              <w:rPr>
                <w:rFonts w:ascii="Arial" w:eastAsia="Times New Roman" w:hAnsi="Arial" w:cs="Arial"/>
                <w:sz w:val="20"/>
                <w:szCs w:val="20"/>
                <w:lang w:eastAsia="en-GB"/>
              </w:rPr>
            </w:pPr>
            <w:r w:rsidRPr="00B06680">
              <w:rPr>
                <w:rFonts w:ascii="Arial" w:eastAsia="Times New Roman" w:hAnsi="Arial" w:cs="Arial"/>
                <w:sz w:val="20"/>
                <w:szCs w:val="20"/>
                <w:lang w:eastAsia="en-GB"/>
              </w:rPr>
              <w:t>£2,304</w:t>
            </w:r>
          </w:p>
        </w:tc>
      </w:tr>
      <w:tr w:rsidR="00B06680" w:rsidRPr="00B06680" w:rsidTr="00B06680">
        <w:trPr>
          <w:trHeight w:val="255"/>
        </w:trPr>
        <w:tc>
          <w:tcPr>
            <w:tcW w:w="3402" w:type="dxa"/>
            <w:shd w:val="clear" w:color="auto" w:fill="CCD6D9"/>
            <w:noWrap/>
            <w:vAlign w:val="bottom"/>
            <w:hideMark/>
          </w:tcPr>
          <w:p w:rsidR="00B06680" w:rsidRPr="00B06680" w:rsidRDefault="00B06680" w:rsidP="00B06680">
            <w:pPr>
              <w:spacing w:before="60" w:after="60" w:line="240" w:lineRule="auto"/>
              <w:rPr>
                <w:rFonts w:ascii="Arial" w:eastAsia="Times New Roman" w:hAnsi="Arial" w:cs="Arial"/>
                <w:sz w:val="20"/>
                <w:szCs w:val="20"/>
                <w:lang w:eastAsia="en-GB"/>
              </w:rPr>
            </w:pPr>
            <w:r w:rsidRPr="00B06680">
              <w:rPr>
                <w:rFonts w:ascii="Arial" w:eastAsia="Times New Roman" w:hAnsi="Arial" w:cs="Arial"/>
                <w:sz w:val="20"/>
                <w:szCs w:val="20"/>
                <w:lang w:eastAsia="en-GB"/>
              </w:rPr>
              <w:t xml:space="preserve">Rural - higher value </w:t>
            </w:r>
          </w:p>
        </w:tc>
        <w:tc>
          <w:tcPr>
            <w:tcW w:w="1276" w:type="dxa"/>
            <w:shd w:val="clear" w:color="auto" w:fill="CCD6D9"/>
            <w:noWrap/>
            <w:vAlign w:val="bottom"/>
            <w:hideMark/>
          </w:tcPr>
          <w:p w:rsidR="00B06680" w:rsidRPr="00B06680" w:rsidRDefault="00B06680" w:rsidP="00B06680">
            <w:pPr>
              <w:spacing w:before="60" w:after="60" w:line="240" w:lineRule="auto"/>
              <w:jc w:val="right"/>
              <w:rPr>
                <w:rFonts w:ascii="Arial" w:eastAsia="Times New Roman" w:hAnsi="Arial" w:cs="Arial"/>
                <w:sz w:val="20"/>
                <w:szCs w:val="20"/>
                <w:lang w:eastAsia="en-GB"/>
              </w:rPr>
            </w:pPr>
            <w:r w:rsidRPr="00B06680">
              <w:rPr>
                <w:rFonts w:ascii="Arial" w:eastAsia="Times New Roman" w:hAnsi="Arial" w:cs="Arial"/>
                <w:sz w:val="20"/>
                <w:szCs w:val="20"/>
                <w:lang w:eastAsia="en-GB"/>
              </w:rPr>
              <w:t>£6,279</w:t>
            </w:r>
          </w:p>
        </w:tc>
        <w:tc>
          <w:tcPr>
            <w:tcW w:w="992" w:type="dxa"/>
            <w:shd w:val="clear" w:color="auto" w:fill="CCD6D9"/>
            <w:noWrap/>
            <w:vAlign w:val="bottom"/>
            <w:hideMark/>
          </w:tcPr>
          <w:p w:rsidR="00B06680" w:rsidRPr="00B06680" w:rsidRDefault="00B06680" w:rsidP="00B06680">
            <w:pPr>
              <w:spacing w:before="60" w:after="60" w:line="240" w:lineRule="auto"/>
              <w:jc w:val="right"/>
              <w:rPr>
                <w:rFonts w:ascii="Arial" w:eastAsia="Times New Roman" w:hAnsi="Arial" w:cs="Arial"/>
                <w:sz w:val="20"/>
                <w:szCs w:val="20"/>
                <w:lang w:eastAsia="en-GB"/>
              </w:rPr>
            </w:pPr>
            <w:r w:rsidRPr="00B06680">
              <w:rPr>
                <w:rFonts w:ascii="Arial" w:eastAsia="Times New Roman" w:hAnsi="Arial" w:cs="Arial"/>
                <w:sz w:val="20"/>
                <w:szCs w:val="20"/>
                <w:lang w:eastAsia="en-GB"/>
              </w:rPr>
              <w:t>£4,236</w:t>
            </w:r>
          </w:p>
        </w:tc>
        <w:tc>
          <w:tcPr>
            <w:tcW w:w="1134" w:type="dxa"/>
            <w:shd w:val="clear" w:color="auto" w:fill="CCD6D9"/>
            <w:noWrap/>
            <w:vAlign w:val="bottom"/>
            <w:hideMark/>
          </w:tcPr>
          <w:p w:rsidR="00B06680" w:rsidRPr="00B06680" w:rsidRDefault="00B06680" w:rsidP="00B06680">
            <w:pPr>
              <w:spacing w:before="60" w:after="60" w:line="240" w:lineRule="auto"/>
              <w:jc w:val="right"/>
              <w:rPr>
                <w:rFonts w:ascii="Arial" w:eastAsia="Times New Roman" w:hAnsi="Arial" w:cs="Arial"/>
                <w:sz w:val="20"/>
                <w:szCs w:val="20"/>
                <w:lang w:eastAsia="en-GB"/>
              </w:rPr>
            </w:pPr>
            <w:r w:rsidRPr="00B06680">
              <w:rPr>
                <w:rFonts w:ascii="Arial" w:eastAsia="Times New Roman" w:hAnsi="Arial" w:cs="Arial"/>
                <w:sz w:val="20"/>
                <w:szCs w:val="20"/>
                <w:lang w:eastAsia="en-GB"/>
              </w:rPr>
              <w:t>£4,032</w:t>
            </w:r>
          </w:p>
        </w:tc>
      </w:tr>
      <w:tr w:rsidR="00B06680" w:rsidRPr="00B06680" w:rsidTr="00B06680">
        <w:trPr>
          <w:trHeight w:val="255"/>
        </w:trPr>
        <w:tc>
          <w:tcPr>
            <w:tcW w:w="3402" w:type="dxa"/>
            <w:shd w:val="clear" w:color="auto" w:fill="auto"/>
            <w:noWrap/>
            <w:vAlign w:val="bottom"/>
            <w:hideMark/>
          </w:tcPr>
          <w:p w:rsidR="00B06680" w:rsidRPr="00B06680" w:rsidRDefault="00B06680" w:rsidP="00B06680">
            <w:pPr>
              <w:spacing w:before="60" w:after="60" w:line="240" w:lineRule="auto"/>
              <w:rPr>
                <w:rFonts w:ascii="Arial" w:eastAsia="Times New Roman" w:hAnsi="Arial" w:cs="Arial"/>
                <w:sz w:val="20"/>
                <w:szCs w:val="20"/>
                <w:lang w:eastAsia="en-GB"/>
              </w:rPr>
            </w:pPr>
            <w:r w:rsidRPr="00B06680">
              <w:rPr>
                <w:rFonts w:ascii="Arial" w:eastAsia="Times New Roman" w:hAnsi="Arial" w:cs="Arial"/>
                <w:sz w:val="20"/>
                <w:szCs w:val="20"/>
                <w:lang w:eastAsia="en-GB"/>
              </w:rPr>
              <w:t xml:space="preserve">Rural - lower value </w:t>
            </w:r>
          </w:p>
        </w:tc>
        <w:tc>
          <w:tcPr>
            <w:tcW w:w="1276" w:type="dxa"/>
            <w:shd w:val="clear" w:color="auto" w:fill="auto"/>
            <w:noWrap/>
            <w:vAlign w:val="bottom"/>
            <w:hideMark/>
          </w:tcPr>
          <w:p w:rsidR="00B06680" w:rsidRPr="00B06680" w:rsidRDefault="00B06680" w:rsidP="00B06680">
            <w:pPr>
              <w:spacing w:before="60" w:after="60" w:line="240" w:lineRule="auto"/>
              <w:jc w:val="right"/>
              <w:rPr>
                <w:rFonts w:ascii="Arial" w:eastAsia="Times New Roman" w:hAnsi="Arial" w:cs="Arial"/>
                <w:sz w:val="20"/>
                <w:szCs w:val="20"/>
                <w:lang w:eastAsia="en-GB"/>
              </w:rPr>
            </w:pPr>
            <w:r w:rsidRPr="00B06680">
              <w:rPr>
                <w:rFonts w:ascii="Arial" w:eastAsia="Times New Roman" w:hAnsi="Arial" w:cs="Arial"/>
                <w:sz w:val="20"/>
                <w:szCs w:val="20"/>
                <w:lang w:eastAsia="en-GB"/>
              </w:rPr>
              <w:t>£3,815</w:t>
            </w:r>
          </w:p>
        </w:tc>
        <w:tc>
          <w:tcPr>
            <w:tcW w:w="992" w:type="dxa"/>
            <w:shd w:val="clear" w:color="auto" w:fill="auto"/>
            <w:noWrap/>
            <w:vAlign w:val="bottom"/>
            <w:hideMark/>
          </w:tcPr>
          <w:p w:rsidR="00B06680" w:rsidRPr="00B06680" w:rsidRDefault="00B06680" w:rsidP="00B06680">
            <w:pPr>
              <w:spacing w:before="60" w:after="60" w:line="240" w:lineRule="auto"/>
              <w:jc w:val="right"/>
              <w:rPr>
                <w:rFonts w:ascii="Arial" w:eastAsia="Times New Roman" w:hAnsi="Arial" w:cs="Arial"/>
                <w:sz w:val="20"/>
                <w:szCs w:val="20"/>
                <w:lang w:eastAsia="en-GB"/>
              </w:rPr>
            </w:pPr>
            <w:r w:rsidRPr="00B06680">
              <w:rPr>
                <w:rFonts w:ascii="Arial" w:eastAsia="Times New Roman" w:hAnsi="Arial" w:cs="Arial"/>
                <w:sz w:val="20"/>
                <w:szCs w:val="20"/>
                <w:lang w:eastAsia="en-GB"/>
              </w:rPr>
              <w:t>£3,262</w:t>
            </w:r>
          </w:p>
        </w:tc>
        <w:tc>
          <w:tcPr>
            <w:tcW w:w="1134" w:type="dxa"/>
            <w:shd w:val="clear" w:color="auto" w:fill="auto"/>
            <w:noWrap/>
            <w:vAlign w:val="bottom"/>
            <w:hideMark/>
          </w:tcPr>
          <w:p w:rsidR="00B06680" w:rsidRPr="00B06680" w:rsidRDefault="00B06680" w:rsidP="00B06680">
            <w:pPr>
              <w:spacing w:before="60" w:after="60" w:line="240" w:lineRule="auto"/>
              <w:jc w:val="right"/>
              <w:rPr>
                <w:rFonts w:ascii="Arial" w:eastAsia="Times New Roman" w:hAnsi="Arial" w:cs="Arial"/>
                <w:sz w:val="20"/>
                <w:szCs w:val="20"/>
                <w:lang w:eastAsia="en-GB"/>
              </w:rPr>
            </w:pPr>
            <w:r w:rsidRPr="00B06680">
              <w:rPr>
                <w:rFonts w:ascii="Arial" w:eastAsia="Times New Roman" w:hAnsi="Arial" w:cs="Arial"/>
                <w:sz w:val="20"/>
                <w:szCs w:val="20"/>
                <w:lang w:eastAsia="en-GB"/>
              </w:rPr>
              <w:t>£2,599</w:t>
            </w:r>
          </w:p>
        </w:tc>
      </w:tr>
    </w:tbl>
    <w:p w:rsidR="00B06680" w:rsidRDefault="00B06680" w:rsidP="00B06680">
      <w:pPr>
        <w:spacing w:after="0" w:line="240" w:lineRule="auto"/>
        <w:ind w:left="720"/>
        <w:rPr>
          <w:rFonts w:ascii="Arial" w:hAnsi="Arial" w:cs="Arial"/>
          <w:sz w:val="20"/>
          <w:szCs w:val="20"/>
        </w:rPr>
      </w:pPr>
    </w:p>
    <w:p w:rsidR="00B06680" w:rsidRDefault="00B06680" w:rsidP="00B06680">
      <w:pPr>
        <w:spacing w:after="0" w:line="240" w:lineRule="auto"/>
        <w:ind w:left="720"/>
        <w:rPr>
          <w:rFonts w:ascii="Arial" w:hAnsi="Arial" w:cs="Arial"/>
          <w:sz w:val="20"/>
          <w:szCs w:val="20"/>
        </w:rPr>
      </w:pPr>
      <w:r>
        <w:rPr>
          <w:rFonts w:ascii="Arial" w:hAnsi="Arial" w:cs="Arial"/>
          <w:sz w:val="20"/>
          <w:szCs w:val="20"/>
        </w:rPr>
        <w:t xml:space="preserve"> </w:t>
      </w:r>
    </w:p>
    <w:p w:rsidR="00B06680" w:rsidRPr="00B06680" w:rsidRDefault="00B06680" w:rsidP="00F0448E">
      <w:pPr>
        <w:spacing w:after="0" w:line="240" w:lineRule="auto"/>
        <w:rPr>
          <w:rFonts w:ascii="Arial" w:hAnsi="Arial" w:cs="Arial"/>
          <w:b/>
          <w:sz w:val="20"/>
          <w:szCs w:val="20"/>
        </w:rPr>
      </w:pPr>
      <w:r>
        <w:rPr>
          <w:rFonts w:ascii="Arial" w:hAnsi="Arial" w:cs="Arial"/>
          <w:b/>
          <w:sz w:val="20"/>
          <w:szCs w:val="20"/>
        </w:rPr>
        <w:t>4.</w:t>
      </w:r>
      <w:r>
        <w:rPr>
          <w:rFonts w:ascii="Arial" w:hAnsi="Arial" w:cs="Arial"/>
          <w:b/>
          <w:sz w:val="20"/>
          <w:szCs w:val="20"/>
        </w:rPr>
        <w:tab/>
      </w:r>
      <w:r w:rsidRPr="00B06680">
        <w:rPr>
          <w:rFonts w:ascii="Arial" w:hAnsi="Arial" w:cs="Arial"/>
          <w:b/>
          <w:sz w:val="20"/>
          <w:szCs w:val="20"/>
        </w:rPr>
        <w:t xml:space="preserve">Viability model for older persons’ housing (30 to 50 units) </w:t>
      </w:r>
    </w:p>
    <w:p w:rsidR="00B06680" w:rsidRDefault="00B06680" w:rsidP="00F0448E">
      <w:pPr>
        <w:spacing w:after="0" w:line="240" w:lineRule="auto"/>
        <w:rPr>
          <w:rFonts w:ascii="Arial" w:hAnsi="Arial" w:cs="Arial"/>
          <w:sz w:val="20"/>
          <w:szCs w:val="20"/>
        </w:rPr>
      </w:pPr>
    </w:p>
    <w:p w:rsidR="006B6143" w:rsidRDefault="006B6143" w:rsidP="006B6143">
      <w:pPr>
        <w:spacing w:after="0" w:line="240" w:lineRule="auto"/>
        <w:ind w:left="720"/>
        <w:rPr>
          <w:rFonts w:ascii="Arial" w:hAnsi="Arial" w:cs="Arial"/>
          <w:sz w:val="20"/>
          <w:szCs w:val="20"/>
        </w:rPr>
      </w:pPr>
      <w:r>
        <w:rPr>
          <w:rFonts w:ascii="Arial" w:hAnsi="Arial" w:cs="Arial"/>
          <w:sz w:val="20"/>
          <w:szCs w:val="20"/>
        </w:rPr>
        <w:t xml:space="preserve">We have run additional appraisals of a development for occupation by older people, typical of the types of scheme developed by McCarthy &amp; Stone and Churchill Living.  The main differences between this type of development and ‘general purpose’ residential schemes are as follows:  </w:t>
      </w:r>
    </w:p>
    <w:p w:rsidR="006B6143" w:rsidRDefault="006B6143" w:rsidP="006B6143">
      <w:pPr>
        <w:spacing w:after="0" w:line="240" w:lineRule="auto"/>
        <w:ind w:left="720"/>
        <w:rPr>
          <w:rFonts w:ascii="Arial" w:hAnsi="Arial" w:cs="Arial"/>
          <w:sz w:val="20"/>
          <w:szCs w:val="20"/>
        </w:rPr>
      </w:pPr>
    </w:p>
    <w:p w:rsidR="006B6143" w:rsidRDefault="006B6143" w:rsidP="006B6143">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A building gross to net ratio of 70% to 80%, compared to a more typical 85% for a general purpose development; </w:t>
      </w:r>
    </w:p>
    <w:p w:rsidR="002652E8" w:rsidRDefault="006B6143" w:rsidP="006B6143">
      <w:pPr>
        <w:pStyle w:val="ListParagraph"/>
        <w:numPr>
          <w:ilvl w:val="0"/>
          <w:numId w:val="4"/>
        </w:numPr>
        <w:spacing w:after="0" w:line="240" w:lineRule="auto"/>
        <w:rPr>
          <w:rFonts w:ascii="Arial" w:hAnsi="Arial" w:cs="Arial"/>
          <w:sz w:val="20"/>
          <w:szCs w:val="20"/>
        </w:rPr>
      </w:pPr>
      <w:r>
        <w:rPr>
          <w:rFonts w:ascii="Arial" w:hAnsi="Arial" w:cs="Arial"/>
          <w:sz w:val="20"/>
          <w:szCs w:val="20"/>
        </w:rPr>
        <w:lastRenderedPageBreak/>
        <w:t xml:space="preserve">Slightly slower sales rates (we have assumed the sales period will extend from </w:t>
      </w:r>
      <w:r w:rsidR="002652E8">
        <w:rPr>
          <w:rFonts w:ascii="Arial" w:hAnsi="Arial" w:cs="Arial"/>
          <w:sz w:val="20"/>
          <w:szCs w:val="20"/>
        </w:rPr>
        <w:t xml:space="preserve">12 months to 18 months; </w:t>
      </w:r>
    </w:p>
    <w:p w:rsidR="002652E8" w:rsidRDefault="002652E8" w:rsidP="006B6143">
      <w:pPr>
        <w:pStyle w:val="ListParagraph"/>
        <w:numPr>
          <w:ilvl w:val="0"/>
          <w:numId w:val="4"/>
        </w:numPr>
        <w:spacing w:after="0" w:line="240" w:lineRule="auto"/>
        <w:rPr>
          <w:rFonts w:ascii="Arial" w:hAnsi="Arial" w:cs="Arial"/>
          <w:sz w:val="20"/>
          <w:szCs w:val="20"/>
        </w:rPr>
      </w:pPr>
      <w:r>
        <w:rPr>
          <w:rFonts w:ascii="Arial" w:hAnsi="Arial" w:cs="Arial"/>
          <w:sz w:val="20"/>
          <w:szCs w:val="20"/>
        </w:rPr>
        <w:t>Increased marketing costs (budget increased from 3% to 6%);</w:t>
      </w:r>
    </w:p>
    <w:p w:rsidR="002652E8" w:rsidRDefault="002652E8" w:rsidP="006B6143">
      <w:pPr>
        <w:pStyle w:val="ListParagraph"/>
        <w:numPr>
          <w:ilvl w:val="0"/>
          <w:numId w:val="4"/>
        </w:numPr>
        <w:spacing w:after="0" w:line="240" w:lineRule="auto"/>
        <w:rPr>
          <w:rFonts w:ascii="Arial" w:hAnsi="Arial" w:cs="Arial"/>
          <w:sz w:val="20"/>
          <w:szCs w:val="20"/>
        </w:rPr>
      </w:pPr>
      <w:r>
        <w:rPr>
          <w:rFonts w:ascii="Arial" w:hAnsi="Arial" w:cs="Arial"/>
          <w:sz w:val="20"/>
          <w:szCs w:val="20"/>
        </w:rPr>
        <w:t xml:space="preserve">Higher density of development due to reduced car parking and private amenity space (100 dwellings per hectare compared to 60 dwellings per hectare for general purpose residential developments;  </w:t>
      </w:r>
    </w:p>
    <w:p w:rsidR="006B6143" w:rsidRPr="006B6143" w:rsidRDefault="002652E8" w:rsidP="006B6143">
      <w:pPr>
        <w:pStyle w:val="ListParagraph"/>
        <w:numPr>
          <w:ilvl w:val="0"/>
          <w:numId w:val="4"/>
        </w:numPr>
        <w:spacing w:after="0" w:line="240" w:lineRule="auto"/>
        <w:rPr>
          <w:rFonts w:ascii="Arial" w:hAnsi="Arial" w:cs="Arial"/>
          <w:sz w:val="20"/>
          <w:szCs w:val="20"/>
        </w:rPr>
      </w:pPr>
      <w:r>
        <w:rPr>
          <w:rFonts w:ascii="Arial" w:hAnsi="Arial" w:cs="Arial"/>
          <w:sz w:val="20"/>
          <w:szCs w:val="20"/>
        </w:rPr>
        <w:t>Premium values achieved (we have assumed a 15% uplift in line with the guidance produced by the Retirement Housing Group</w:t>
      </w:r>
      <w:r>
        <w:rPr>
          <w:rStyle w:val="FootnoteReference"/>
          <w:rFonts w:ascii="Arial" w:hAnsi="Arial" w:cs="Arial"/>
          <w:sz w:val="20"/>
          <w:szCs w:val="20"/>
        </w:rPr>
        <w:footnoteReference w:id="1"/>
      </w:r>
    </w:p>
    <w:p w:rsidR="002652E8" w:rsidRDefault="002652E8" w:rsidP="006B6143">
      <w:pPr>
        <w:spacing w:after="0" w:line="240" w:lineRule="auto"/>
        <w:ind w:left="720"/>
        <w:rPr>
          <w:rFonts w:ascii="Arial" w:hAnsi="Arial" w:cs="Arial"/>
          <w:sz w:val="20"/>
          <w:szCs w:val="20"/>
        </w:rPr>
      </w:pPr>
    </w:p>
    <w:p w:rsidR="00B06680" w:rsidRPr="00B06680" w:rsidRDefault="006B6143" w:rsidP="006B6143">
      <w:pPr>
        <w:spacing w:after="0" w:line="240" w:lineRule="auto"/>
        <w:ind w:left="720"/>
        <w:rPr>
          <w:rFonts w:ascii="Arial" w:hAnsi="Arial" w:cs="Arial"/>
          <w:sz w:val="20"/>
          <w:szCs w:val="20"/>
        </w:rPr>
      </w:pPr>
      <w:r>
        <w:rPr>
          <w:rFonts w:ascii="Arial" w:hAnsi="Arial" w:cs="Arial"/>
          <w:sz w:val="20"/>
          <w:szCs w:val="20"/>
        </w:rPr>
        <w:t xml:space="preserve">The results of our appraisals are attached as Appendix 2.  </w:t>
      </w:r>
      <w:r w:rsidR="002652E8">
        <w:rPr>
          <w:rFonts w:ascii="Arial" w:hAnsi="Arial" w:cs="Arial"/>
          <w:sz w:val="20"/>
          <w:szCs w:val="20"/>
        </w:rPr>
        <w:t xml:space="preserve">These results show that retirement housing schemes are marginally more viable in comparison to general purpose flatted developments (please see Table 6.7.9 in the main Viability Study).  </w:t>
      </w:r>
      <w:bookmarkStart w:id="0" w:name="_GoBack"/>
      <w:bookmarkEnd w:id="0"/>
    </w:p>
    <w:p w:rsidR="00B61CC8" w:rsidRPr="00B06680" w:rsidRDefault="00B61CC8" w:rsidP="00F0448E">
      <w:pPr>
        <w:spacing w:after="0" w:line="240" w:lineRule="auto"/>
        <w:rPr>
          <w:rFonts w:ascii="Arial" w:hAnsi="Arial" w:cs="Arial"/>
          <w:sz w:val="20"/>
          <w:szCs w:val="20"/>
        </w:rPr>
      </w:pPr>
    </w:p>
    <w:p w:rsidR="00F0448E" w:rsidRPr="00B06680" w:rsidRDefault="00F0448E" w:rsidP="00F0448E">
      <w:pPr>
        <w:spacing w:after="0" w:line="240" w:lineRule="auto"/>
        <w:rPr>
          <w:rFonts w:ascii="Arial" w:hAnsi="Arial" w:cs="Arial"/>
          <w:sz w:val="20"/>
          <w:szCs w:val="20"/>
        </w:rPr>
      </w:pPr>
    </w:p>
    <w:p w:rsidR="006B6143" w:rsidRDefault="003F5BF8" w:rsidP="00F0448E">
      <w:pPr>
        <w:spacing w:after="0" w:line="240" w:lineRule="auto"/>
        <w:rPr>
          <w:rFonts w:ascii="Arial" w:hAnsi="Arial" w:cs="Arial"/>
          <w:sz w:val="20"/>
          <w:szCs w:val="20"/>
        </w:rPr>
      </w:pPr>
      <w:r>
        <w:rPr>
          <w:rFonts w:ascii="Arial" w:hAnsi="Arial" w:cs="Arial"/>
          <w:sz w:val="20"/>
          <w:szCs w:val="20"/>
        </w:rPr>
        <w:t xml:space="preserve">BNP Paribas Real Estate </w:t>
      </w:r>
    </w:p>
    <w:p w:rsidR="003F5BF8" w:rsidRDefault="003F5BF8" w:rsidP="00F0448E">
      <w:pPr>
        <w:spacing w:after="0" w:line="240" w:lineRule="auto"/>
        <w:rPr>
          <w:rFonts w:ascii="Arial" w:hAnsi="Arial" w:cs="Arial"/>
          <w:sz w:val="20"/>
          <w:szCs w:val="20"/>
        </w:rPr>
      </w:pPr>
      <w:r>
        <w:rPr>
          <w:rFonts w:ascii="Arial" w:hAnsi="Arial" w:cs="Arial"/>
          <w:sz w:val="20"/>
          <w:szCs w:val="20"/>
        </w:rPr>
        <w:t xml:space="preserve">19 July 2017 </w:t>
      </w:r>
    </w:p>
    <w:p w:rsidR="003F5BF8" w:rsidRDefault="003F5BF8" w:rsidP="00F0448E">
      <w:pPr>
        <w:spacing w:after="0" w:line="240" w:lineRule="auto"/>
        <w:rPr>
          <w:rFonts w:ascii="Arial" w:hAnsi="Arial" w:cs="Arial"/>
          <w:sz w:val="20"/>
          <w:szCs w:val="20"/>
        </w:rPr>
      </w:pPr>
    </w:p>
    <w:p w:rsidR="003F5BF8" w:rsidRDefault="003F5BF8"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sectPr w:rsidR="006B6143" w:rsidSect="000B3BE9">
          <w:headerReference w:type="default" r:id="rId9"/>
          <w:pgSz w:w="11906" w:h="16838"/>
          <w:pgMar w:top="1843" w:right="1440" w:bottom="1440" w:left="1440" w:header="708" w:footer="708" w:gutter="0"/>
          <w:cols w:space="708"/>
          <w:docGrid w:linePitch="360"/>
        </w:sectPr>
      </w:pPr>
    </w:p>
    <w:p w:rsidR="0082411B" w:rsidRDefault="0082411B" w:rsidP="00F0448E">
      <w:pPr>
        <w:spacing w:after="0" w:line="240" w:lineRule="auto"/>
        <w:rPr>
          <w:rFonts w:ascii="Arial" w:hAnsi="Arial" w:cs="Arial"/>
          <w:sz w:val="20"/>
          <w:szCs w:val="20"/>
        </w:rPr>
      </w:pPr>
    </w:p>
    <w:p w:rsidR="003F5BF8" w:rsidRPr="003F5BF8" w:rsidRDefault="003F5BF8" w:rsidP="00F0448E">
      <w:pPr>
        <w:spacing w:after="0" w:line="240" w:lineRule="auto"/>
        <w:rPr>
          <w:rFonts w:ascii="Arial" w:hAnsi="Arial" w:cs="Arial"/>
          <w:b/>
          <w:sz w:val="20"/>
          <w:szCs w:val="20"/>
        </w:rPr>
      </w:pPr>
      <w:r w:rsidRPr="003F5BF8">
        <w:rPr>
          <w:rFonts w:ascii="Arial" w:hAnsi="Arial" w:cs="Arial"/>
          <w:b/>
          <w:sz w:val="20"/>
          <w:szCs w:val="20"/>
        </w:rPr>
        <w:t xml:space="preserve">Appendix 1: Additional typologies results (150 and 200 units) </w:t>
      </w:r>
      <w:r>
        <w:rPr>
          <w:rFonts w:ascii="Arial" w:hAnsi="Arial" w:cs="Arial"/>
          <w:b/>
          <w:sz w:val="20"/>
          <w:szCs w:val="20"/>
        </w:rPr>
        <w:t xml:space="preserve">– maximum CIL rates </w:t>
      </w:r>
    </w:p>
    <w:p w:rsidR="003F5BF8" w:rsidRDefault="003F5BF8" w:rsidP="00F0448E">
      <w:pPr>
        <w:spacing w:after="0" w:line="240" w:lineRule="auto"/>
        <w:rPr>
          <w:rFonts w:ascii="Arial" w:hAnsi="Arial" w:cs="Arial"/>
          <w:sz w:val="20"/>
          <w:szCs w:val="20"/>
        </w:rPr>
      </w:pPr>
    </w:p>
    <w:tbl>
      <w:tblPr>
        <w:tblW w:w="13000" w:type="dxa"/>
        <w:tblInd w:w="93" w:type="dxa"/>
        <w:tblLook w:val="04A0" w:firstRow="1" w:lastRow="0" w:firstColumn="1" w:lastColumn="0" w:noHBand="0" w:noVBand="1"/>
      </w:tblPr>
      <w:tblGrid>
        <w:gridCol w:w="220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tblGrid>
      <w:tr w:rsidR="003F5BF8" w:rsidRPr="003F5BF8" w:rsidTr="003F5BF8">
        <w:trPr>
          <w:trHeight w:val="255"/>
        </w:trPr>
        <w:tc>
          <w:tcPr>
            <w:tcW w:w="2200" w:type="dxa"/>
            <w:tcBorders>
              <w:top w:val="single" w:sz="4" w:space="0" w:color="auto"/>
              <w:left w:val="single" w:sz="4" w:space="0" w:color="auto"/>
              <w:bottom w:val="single" w:sz="4" w:space="0" w:color="auto"/>
              <w:right w:val="nil"/>
            </w:tcBorders>
            <w:shd w:val="clear" w:color="000000" w:fill="FFFF99"/>
            <w:noWrap/>
            <w:vAlign w:val="bottom"/>
            <w:hideMark/>
          </w:tcPr>
          <w:p w:rsidR="003F5BF8" w:rsidRPr="003F5BF8" w:rsidRDefault="003F5BF8" w:rsidP="003F5BF8">
            <w:pPr>
              <w:spacing w:after="0" w:line="240" w:lineRule="auto"/>
              <w:rPr>
                <w:rFonts w:ascii="Arial" w:eastAsia="Times New Roman" w:hAnsi="Arial" w:cs="Arial"/>
                <w:b/>
                <w:bCs/>
                <w:sz w:val="20"/>
                <w:szCs w:val="20"/>
                <w:lang w:eastAsia="en-GB"/>
              </w:rPr>
            </w:pPr>
            <w:r w:rsidRPr="003F5BF8">
              <w:rPr>
                <w:rFonts w:ascii="Arial" w:eastAsia="Times New Roman" w:hAnsi="Arial" w:cs="Arial"/>
                <w:b/>
                <w:bCs/>
                <w:sz w:val="20"/>
                <w:szCs w:val="20"/>
                <w:lang w:eastAsia="en-GB"/>
              </w:rPr>
              <w:t>Site type</w:t>
            </w:r>
          </w:p>
        </w:tc>
        <w:tc>
          <w:tcPr>
            <w:tcW w:w="3240" w:type="dxa"/>
            <w:gridSpan w:val="6"/>
            <w:tcBorders>
              <w:top w:val="single" w:sz="4" w:space="0" w:color="auto"/>
              <w:left w:val="nil"/>
              <w:bottom w:val="single" w:sz="4" w:space="0" w:color="auto"/>
              <w:right w:val="nil"/>
            </w:tcBorders>
            <w:shd w:val="clear" w:color="000000" w:fill="FFFF99"/>
            <w:noWrap/>
            <w:vAlign w:val="bottom"/>
            <w:hideMark/>
          </w:tcPr>
          <w:p w:rsidR="003F5BF8" w:rsidRPr="003F5BF8" w:rsidRDefault="003F5BF8" w:rsidP="003F5BF8">
            <w:pPr>
              <w:spacing w:after="0" w:line="240" w:lineRule="auto"/>
              <w:rPr>
                <w:rFonts w:ascii="Arial" w:eastAsia="Times New Roman" w:hAnsi="Arial" w:cs="Arial"/>
                <w:b/>
                <w:bCs/>
                <w:sz w:val="20"/>
                <w:szCs w:val="20"/>
                <w:lang w:eastAsia="en-GB"/>
              </w:rPr>
            </w:pPr>
            <w:r w:rsidRPr="003F5BF8">
              <w:rPr>
                <w:rFonts w:ascii="Arial" w:eastAsia="Times New Roman" w:hAnsi="Arial" w:cs="Arial"/>
                <w:b/>
                <w:bCs/>
                <w:sz w:val="20"/>
                <w:szCs w:val="20"/>
                <w:lang w:eastAsia="en-GB"/>
              </w:rPr>
              <w:t xml:space="preserve">Type 10 - 150 units - greenfield </w:t>
            </w:r>
          </w:p>
        </w:tc>
        <w:tc>
          <w:tcPr>
            <w:tcW w:w="540" w:type="dxa"/>
            <w:tcBorders>
              <w:top w:val="single" w:sz="4" w:space="0" w:color="auto"/>
              <w:left w:val="nil"/>
              <w:bottom w:val="single" w:sz="4" w:space="0" w:color="auto"/>
              <w:right w:val="nil"/>
            </w:tcBorders>
            <w:shd w:val="clear" w:color="000000" w:fill="FFFF99"/>
            <w:noWrap/>
            <w:vAlign w:val="bottom"/>
            <w:hideMark/>
          </w:tcPr>
          <w:p w:rsidR="003F5BF8" w:rsidRPr="003F5BF8" w:rsidRDefault="003F5BF8" w:rsidP="003F5BF8">
            <w:pPr>
              <w:spacing w:after="0" w:line="240" w:lineRule="auto"/>
              <w:rPr>
                <w:rFonts w:ascii="Arial" w:eastAsia="Times New Roman" w:hAnsi="Arial" w:cs="Arial"/>
                <w:b/>
                <w:bCs/>
                <w:sz w:val="20"/>
                <w:szCs w:val="20"/>
                <w:lang w:eastAsia="en-GB"/>
              </w:rPr>
            </w:pPr>
            <w:r w:rsidRPr="003F5BF8">
              <w:rPr>
                <w:rFonts w:ascii="Arial" w:eastAsia="Times New Roman" w:hAnsi="Arial" w:cs="Arial"/>
                <w:b/>
                <w:bCs/>
                <w:sz w:val="20"/>
                <w:szCs w:val="20"/>
                <w:lang w:eastAsia="en-GB"/>
              </w:rPr>
              <w:t> </w:t>
            </w:r>
          </w:p>
        </w:tc>
        <w:tc>
          <w:tcPr>
            <w:tcW w:w="540" w:type="dxa"/>
            <w:tcBorders>
              <w:top w:val="single" w:sz="4" w:space="0" w:color="auto"/>
              <w:left w:val="nil"/>
              <w:bottom w:val="single" w:sz="4" w:space="0" w:color="auto"/>
              <w:right w:val="single" w:sz="4" w:space="0" w:color="auto"/>
            </w:tcBorders>
            <w:shd w:val="clear" w:color="000000" w:fill="FFFF99"/>
            <w:noWrap/>
            <w:vAlign w:val="bottom"/>
            <w:hideMark/>
          </w:tcPr>
          <w:p w:rsidR="003F5BF8" w:rsidRPr="003F5BF8" w:rsidRDefault="003F5BF8" w:rsidP="003F5BF8">
            <w:pPr>
              <w:spacing w:after="0" w:line="240" w:lineRule="auto"/>
              <w:rPr>
                <w:rFonts w:ascii="Arial" w:eastAsia="Times New Roman" w:hAnsi="Arial" w:cs="Arial"/>
                <w:b/>
                <w:bCs/>
                <w:sz w:val="20"/>
                <w:szCs w:val="20"/>
                <w:lang w:eastAsia="en-GB"/>
              </w:rPr>
            </w:pPr>
            <w:r w:rsidRPr="003F5BF8">
              <w:rPr>
                <w:rFonts w:ascii="Arial" w:eastAsia="Times New Roman" w:hAnsi="Arial" w:cs="Arial"/>
                <w:b/>
                <w:bCs/>
                <w:sz w:val="20"/>
                <w:szCs w:val="20"/>
                <w:lang w:eastAsia="en-GB"/>
              </w:rPr>
              <w:t> </w:t>
            </w: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r>
      <w:tr w:rsidR="003F5BF8" w:rsidRPr="003F5BF8" w:rsidTr="003F5BF8">
        <w:trPr>
          <w:trHeight w:val="255"/>
        </w:trPr>
        <w:tc>
          <w:tcPr>
            <w:tcW w:w="220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p>
        </w:tc>
        <w:tc>
          <w:tcPr>
            <w:tcW w:w="27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F5BF8" w:rsidRPr="003F5BF8" w:rsidRDefault="003F5BF8" w:rsidP="003F5BF8">
            <w:pPr>
              <w:spacing w:after="0" w:line="240" w:lineRule="auto"/>
              <w:jc w:val="center"/>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BLV1</w:t>
            </w:r>
          </w:p>
        </w:tc>
        <w:tc>
          <w:tcPr>
            <w:tcW w:w="2700" w:type="dxa"/>
            <w:gridSpan w:val="5"/>
            <w:tcBorders>
              <w:top w:val="single" w:sz="4" w:space="0" w:color="auto"/>
              <w:left w:val="nil"/>
              <w:bottom w:val="single" w:sz="4" w:space="0" w:color="auto"/>
              <w:right w:val="single" w:sz="4" w:space="0" w:color="000000"/>
            </w:tcBorders>
            <w:shd w:val="clear" w:color="auto" w:fill="auto"/>
            <w:vAlign w:val="center"/>
            <w:hideMark/>
          </w:tcPr>
          <w:p w:rsidR="003F5BF8" w:rsidRPr="003F5BF8" w:rsidRDefault="003F5BF8" w:rsidP="003F5BF8">
            <w:pPr>
              <w:spacing w:after="0" w:line="240" w:lineRule="auto"/>
              <w:jc w:val="center"/>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BLV2</w:t>
            </w:r>
          </w:p>
        </w:tc>
        <w:tc>
          <w:tcPr>
            <w:tcW w:w="2700" w:type="dxa"/>
            <w:gridSpan w:val="5"/>
            <w:tcBorders>
              <w:top w:val="single" w:sz="4" w:space="0" w:color="auto"/>
              <w:left w:val="nil"/>
              <w:bottom w:val="single" w:sz="4" w:space="0" w:color="auto"/>
              <w:right w:val="single" w:sz="4" w:space="0" w:color="000000"/>
            </w:tcBorders>
            <w:shd w:val="clear" w:color="000000" w:fill="D8E4BC"/>
            <w:vAlign w:val="center"/>
            <w:hideMark/>
          </w:tcPr>
          <w:p w:rsidR="003F5BF8" w:rsidRPr="003F5BF8" w:rsidRDefault="003F5BF8" w:rsidP="003F5BF8">
            <w:pPr>
              <w:spacing w:after="0" w:line="240" w:lineRule="auto"/>
              <w:jc w:val="center"/>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BLV3</w:t>
            </w:r>
          </w:p>
        </w:tc>
        <w:tc>
          <w:tcPr>
            <w:tcW w:w="2700" w:type="dxa"/>
            <w:gridSpan w:val="5"/>
            <w:tcBorders>
              <w:top w:val="single" w:sz="4" w:space="0" w:color="auto"/>
              <w:left w:val="nil"/>
              <w:bottom w:val="single" w:sz="4" w:space="0" w:color="auto"/>
              <w:right w:val="single" w:sz="4" w:space="0" w:color="000000"/>
            </w:tcBorders>
            <w:shd w:val="clear" w:color="000000" w:fill="D8E4BC"/>
            <w:vAlign w:val="center"/>
            <w:hideMark/>
          </w:tcPr>
          <w:p w:rsidR="003F5BF8" w:rsidRPr="003F5BF8" w:rsidRDefault="003F5BF8" w:rsidP="003F5BF8">
            <w:pPr>
              <w:spacing w:after="0" w:line="240" w:lineRule="auto"/>
              <w:jc w:val="center"/>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BLV4</w:t>
            </w:r>
          </w:p>
        </w:tc>
      </w:tr>
      <w:tr w:rsidR="003F5BF8" w:rsidRPr="003F5BF8" w:rsidTr="003F5BF8">
        <w:trPr>
          <w:trHeight w:val="255"/>
        </w:trPr>
        <w:tc>
          <w:tcPr>
            <w:tcW w:w="220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p>
        </w:tc>
        <w:tc>
          <w:tcPr>
            <w:tcW w:w="540" w:type="dxa"/>
            <w:tcBorders>
              <w:top w:val="nil"/>
              <w:left w:val="single" w:sz="4" w:space="0" w:color="auto"/>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40%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30%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20%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10%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40%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30%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20%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10%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40%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30%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20%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10%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40%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30%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20%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10%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0%</w:t>
            </w:r>
          </w:p>
        </w:tc>
      </w:tr>
      <w:tr w:rsidR="003F5BF8" w:rsidRPr="003F5BF8" w:rsidTr="003F5BF8">
        <w:trPr>
          <w:trHeight w:val="25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 xml:space="preserve">Warwick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120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40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180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280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120</w:t>
            </w:r>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260</w:t>
            </w:r>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60</w:t>
            </w:r>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200</w:t>
            </w:r>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r w:rsidR="003F5BF8" w:rsidRPr="003F5BF8" w:rsidTr="003F5BF8">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 xml:space="preserve">Leamington Spa </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160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r w:rsidR="003F5BF8" w:rsidRPr="003F5BF8" w:rsidTr="003F5BF8">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 xml:space="preserve">Kenilworth </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80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240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260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r w:rsidR="003F5BF8" w:rsidRPr="003F5BF8" w:rsidTr="003F5BF8">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Rural areas (higher value)</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r w:rsidR="003F5BF8" w:rsidRPr="003F5BF8" w:rsidTr="003F5BF8">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Rural areas (lower value)</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160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260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180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260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bl>
    <w:p w:rsidR="003F5BF8" w:rsidRDefault="003F5BF8" w:rsidP="00F0448E">
      <w:pPr>
        <w:spacing w:after="0" w:line="240" w:lineRule="auto"/>
        <w:rPr>
          <w:rFonts w:ascii="Arial" w:hAnsi="Arial" w:cs="Arial"/>
          <w:sz w:val="20"/>
          <w:szCs w:val="20"/>
        </w:rPr>
      </w:pPr>
    </w:p>
    <w:p w:rsidR="003F5BF8" w:rsidRDefault="003F5BF8" w:rsidP="00F0448E">
      <w:pPr>
        <w:spacing w:after="0" w:line="240" w:lineRule="auto"/>
        <w:rPr>
          <w:rFonts w:ascii="Arial" w:hAnsi="Arial" w:cs="Arial"/>
          <w:sz w:val="20"/>
          <w:szCs w:val="20"/>
        </w:rPr>
      </w:pPr>
    </w:p>
    <w:tbl>
      <w:tblPr>
        <w:tblW w:w="13000" w:type="dxa"/>
        <w:tblInd w:w="93" w:type="dxa"/>
        <w:tblLook w:val="04A0" w:firstRow="1" w:lastRow="0" w:firstColumn="1" w:lastColumn="0" w:noHBand="0" w:noVBand="1"/>
      </w:tblPr>
      <w:tblGrid>
        <w:gridCol w:w="220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tblGrid>
      <w:tr w:rsidR="003F5BF8" w:rsidRPr="003F5BF8" w:rsidTr="003F5BF8">
        <w:trPr>
          <w:trHeight w:val="255"/>
        </w:trPr>
        <w:tc>
          <w:tcPr>
            <w:tcW w:w="2200" w:type="dxa"/>
            <w:tcBorders>
              <w:top w:val="single" w:sz="4" w:space="0" w:color="auto"/>
              <w:left w:val="single" w:sz="4" w:space="0" w:color="auto"/>
              <w:bottom w:val="single" w:sz="4" w:space="0" w:color="auto"/>
              <w:right w:val="nil"/>
            </w:tcBorders>
            <w:shd w:val="clear" w:color="000000" w:fill="FFFF99"/>
            <w:noWrap/>
            <w:vAlign w:val="bottom"/>
            <w:hideMark/>
          </w:tcPr>
          <w:p w:rsidR="003F5BF8" w:rsidRPr="003F5BF8" w:rsidRDefault="003F5BF8" w:rsidP="003F5BF8">
            <w:pPr>
              <w:spacing w:after="0" w:line="240" w:lineRule="auto"/>
              <w:rPr>
                <w:rFonts w:ascii="Arial" w:eastAsia="Times New Roman" w:hAnsi="Arial" w:cs="Arial"/>
                <w:b/>
                <w:bCs/>
                <w:sz w:val="20"/>
                <w:szCs w:val="20"/>
                <w:lang w:eastAsia="en-GB"/>
              </w:rPr>
            </w:pPr>
            <w:r w:rsidRPr="003F5BF8">
              <w:rPr>
                <w:rFonts w:ascii="Arial" w:eastAsia="Times New Roman" w:hAnsi="Arial" w:cs="Arial"/>
                <w:b/>
                <w:bCs/>
                <w:sz w:val="20"/>
                <w:szCs w:val="20"/>
                <w:lang w:eastAsia="en-GB"/>
              </w:rPr>
              <w:t>Site type</w:t>
            </w:r>
          </w:p>
        </w:tc>
        <w:tc>
          <w:tcPr>
            <w:tcW w:w="3240" w:type="dxa"/>
            <w:gridSpan w:val="6"/>
            <w:tcBorders>
              <w:top w:val="single" w:sz="4" w:space="0" w:color="auto"/>
              <w:left w:val="nil"/>
              <w:bottom w:val="single" w:sz="4" w:space="0" w:color="auto"/>
              <w:right w:val="nil"/>
            </w:tcBorders>
            <w:shd w:val="clear" w:color="000000" w:fill="FFFF99"/>
            <w:noWrap/>
            <w:vAlign w:val="bottom"/>
            <w:hideMark/>
          </w:tcPr>
          <w:p w:rsidR="003F5BF8" w:rsidRPr="003F5BF8" w:rsidRDefault="003F5BF8" w:rsidP="003F5BF8">
            <w:pPr>
              <w:spacing w:after="0" w:line="240" w:lineRule="auto"/>
              <w:rPr>
                <w:rFonts w:ascii="Arial" w:eastAsia="Times New Roman" w:hAnsi="Arial" w:cs="Arial"/>
                <w:b/>
                <w:bCs/>
                <w:sz w:val="20"/>
                <w:szCs w:val="20"/>
                <w:lang w:eastAsia="en-GB"/>
              </w:rPr>
            </w:pPr>
            <w:r w:rsidRPr="003F5BF8">
              <w:rPr>
                <w:rFonts w:ascii="Arial" w:eastAsia="Times New Roman" w:hAnsi="Arial" w:cs="Arial"/>
                <w:b/>
                <w:bCs/>
                <w:sz w:val="20"/>
                <w:szCs w:val="20"/>
                <w:lang w:eastAsia="en-GB"/>
              </w:rPr>
              <w:t xml:space="preserve">Type 11 - 150 units - brownfield </w:t>
            </w:r>
          </w:p>
        </w:tc>
        <w:tc>
          <w:tcPr>
            <w:tcW w:w="540" w:type="dxa"/>
            <w:tcBorders>
              <w:top w:val="single" w:sz="4" w:space="0" w:color="auto"/>
              <w:left w:val="nil"/>
              <w:bottom w:val="single" w:sz="4" w:space="0" w:color="auto"/>
              <w:right w:val="nil"/>
            </w:tcBorders>
            <w:shd w:val="clear" w:color="000000" w:fill="FFFF99"/>
            <w:noWrap/>
            <w:vAlign w:val="bottom"/>
            <w:hideMark/>
          </w:tcPr>
          <w:p w:rsidR="003F5BF8" w:rsidRPr="003F5BF8" w:rsidRDefault="003F5BF8" w:rsidP="003F5BF8">
            <w:pPr>
              <w:spacing w:after="0" w:line="240" w:lineRule="auto"/>
              <w:rPr>
                <w:rFonts w:ascii="Arial" w:eastAsia="Times New Roman" w:hAnsi="Arial" w:cs="Arial"/>
                <w:b/>
                <w:bCs/>
                <w:sz w:val="20"/>
                <w:szCs w:val="20"/>
                <w:lang w:eastAsia="en-GB"/>
              </w:rPr>
            </w:pPr>
            <w:r w:rsidRPr="003F5BF8">
              <w:rPr>
                <w:rFonts w:ascii="Arial" w:eastAsia="Times New Roman" w:hAnsi="Arial" w:cs="Arial"/>
                <w:b/>
                <w:bCs/>
                <w:sz w:val="20"/>
                <w:szCs w:val="20"/>
                <w:lang w:eastAsia="en-GB"/>
              </w:rPr>
              <w:t> </w:t>
            </w:r>
          </w:p>
        </w:tc>
        <w:tc>
          <w:tcPr>
            <w:tcW w:w="540" w:type="dxa"/>
            <w:tcBorders>
              <w:top w:val="single" w:sz="4" w:space="0" w:color="auto"/>
              <w:left w:val="nil"/>
              <w:bottom w:val="single" w:sz="4" w:space="0" w:color="auto"/>
              <w:right w:val="single" w:sz="4" w:space="0" w:color="auto"/>
            </w:tcBorders>
            <w:shd w:val="clear" w:color="000000" w:fill="FFFF99"/>
            <w:noWrap/>
            <w:vAlign w:val="bottom"/>
            <w:hideMark/>
          </w:tcPr>
          <w:p w:rsidR="003F5BF8" w:rsidRPr="003F5BF8" w:rsidRDefault="003F5BF8" w:rsidP="003F5BF8">
            <w:pPr>
              <w:spacing w:after="0" w:line="240" w:lineRule="auto"/>
              <w:rPr>
                <w:rFonts w:ascii="Arial" w:eastAsia="Times New Roman" w:hAnsi="Arial" w:cs="Arial"/>
                <w:b/>
                <w:bCs/>
                <w:sz w:val="20"/>
                <w:szCs w:val="20"/>
                <w:lang w:eastAsia="en-GB"/>
              </w:rPr>
            </w:pPr>
            <w:r w:rsidRPr="003F5BF8">
              <w:rPr>
                <w:rFonts w:ascii="Arial" w:eastAsia="Times New Roman" w:hAnsi="Arial" w:cs="Arial"/>
                <w:b/>
                <w:bCs/>
                <w:sz w:val="20"/>
                <w:szCs w:val="20"/>
                <w:lang w:eastAsia="en-GB"/>
              </w:rPr>
              <w:t> </w:t>
            </w: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r>
      <w:tr w:rsidR="003F5BF8" w:rsidRPr="003F5BF8" w:rsidTr="003F5BF8">
        <w:trPr>
          <w:trHeight w:val="255"/>
        </w:trPr>
        <w:tc>
          <w:tcPr>
            <w:tcW w:w="220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p>
        </w:tc>
        <w:tc>
          <w:tcPr>
            <w:tcW w:w="2700" w:type="dxa"/>
            <w:gridSpan w:val="5"/>
            <w:tcBorders>
              <w:top w:val="single" w:sz="4" w:space="0" w:color="auto"/>
              <w:left w:val="single" w:sz="4" w:space="0" w:color="auto"/>
              <w:bottom w:val="single" w:sz="4" w:space="0" w:color="auto"/>
              <w:right w:val="single" w:sz="4" w:space="0" w:color="000000"/>
            </w:tcBorders>
            <w:shd w:val="clear" w:color="000000" w:fill="FCD5B4"/>
            <w:vAlign w:val="center"/>
            <w:hideMark/>
          </w:tcPr>
          <w:p w:rsidR="003F5BF8" w:rsidRPr="003F5BF8" w:rsidRDefault="003F5BF8" w:rsidP="003F5BF8">
            <w:pPr>
              <w:spacing w:after="0" w:line="240" w:lineRule="auto"/>
              <w:jc w:val="center"/>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BLV1</w:t>
            </w:r>
          </w:p>
        </w:tc>
        <w:tc>
          <w:tcPr>
            <w:tcW w:w="2700" w:type="dxa"/>
            <w:gridSpan w:val="5"/>
            <w:tcBorders>
              <w:top w:val="single" w:sz="4" w:space="0" w:color="auto"/>
              <w:left w:val="nil"/>
              <w:bottom w:val="single" w:sz="4" w:space="0" w:color="auto"/>
              <w:right w:val="single" w:sz="4" w:space="0" w:color="000000"/>
            </w:tcBorders>
            <w:shd w:val="clear" w:color="000000" w:fill="FCD5B4"/>
            <w:vAlign w:val="center"/>
            <w:hideMark/>
          </w:tcPr>
          <w:p w:rsidR="003F5BF8" w:rsidRPr="003F5BF8" w:rsidRDefault="003F5BF8" w:rsidP="003F5BF8">
            <w:pPr>
              <w:spacing w:after="0" w:line="240" w:lineRule="auto"/>
              <w:jc w:val="center"/>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BLV2</w:t>
            </w:r>
          </w:p>
        </w:tc>
        <w:tc>
          <w:tcPr>
            <w:tcW w:w="2700" w:type="dxa"/>
            <w:gridSpan w:val="5"/>
            <w:tcBorders>
              <w:top w:val="single" w:sz="4" w:space="0" w:color="auto"/>
              <w:left w:val="nil"/>
              <w:bottom w:val="single" w:sz="4" w:space="0" w:color="auto"/>
              <w:right w:val="single" w:sz="4" w:space="0" w:color="000000"/>
            </w:tcBorders>
            <w:shd w:val="clear" w:color="auto" w:fill="auto"/>
            <w:vAlign w:val="center"/>
            <w:hideMark/>
          </w:tcPr>
          <w:p w:rsidR="003F5BF8" w:rsidRPr="003F5BF8" w:rsidRDefault="003F5BF8" w:rsidP="003F5BF8">
            <w:pPr>
              <w:spacing w:after="0" w:line="240" w:lineRule="auto"/>
              <w:jc w:val="center"/>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BLV3</w:t>
            </w:r>
          </w:p>
        </w:tc>
        <w:tc>
          <w:tcPr>
            <w:tcW w:w="2700" w:type="dxa"/>
            <w:gridSpan w:val="5"/>
            <w:tcBorders>
              <w:top w:val="single" w:sz="4" w:space="0" w:color="auto"/>
              <w:left w:val="nil"/>
              <w:bottom w:val="single" w:sz="4" w:space="0" w:color="auto"/>
              <w:right w:val="single" w:sz="4" w:space="0" w:color="000000"/>
            </w:tcBorders>
            <w:shd w:val="clear" w:color="auto" w:fill="auto"/>
            <w:vAlign w:val="center"/>
            <w:hideMark/>
          </w:tcPr>
          <w:p w:rsidR="003F5BF8" w:rsidRPr="003F5BF8" w:rsidRDefault="003F5BF8" w:rsidP="003F5BF8">
            <w:pPr>
              <w:spacing w:after="0" w:line="240" w:lineRule="auto"/>
              <w:jc w:val="center"/>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BLV4</w:t>
            </w:r>
          </w:p>
        </w:tc>
      </w:tr>
      <w:tr w:rsidR="003F5BF8" w:rsidRPr="003F5BF8" w:rsidTr="003F5BF8">
        <w:trPr>
          <w:trHeight w:val="255"/>
        </w:trPr>
        <w:tc>
          <w:tcPr>
            <w:tcW w:w="220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p>
        </w:tc>
        <w:tc>
          <w:tcPr>
            <w:tcW w:w="540" w:type="dxa"/>
            <w:tcBorders>
              <w:top w:val="nil"/>
              <w:left w:val="single" w:sz="4" w:space="0" w:color="auto"/>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40%</w:t>
            </w:r>
          </w:p>
        </w:tc>
        <w:tc>
          <w:tcPr>
            <w:tcW w:w="540" w:type="dxa"/>
            <w:tcBorders>
              <w:top w:val="nil"/>
              <w:left w:val="nil"/>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30%</w:t>
            </w:r>
          </w:p>
        </w:tc>
        <w:tc>
          <w:tcPr>
            <w:tcW w:w="540" w:type="dxa"/>
            <w:tcBorders>
              <w:top w:val="nil"/>
              <w:left w:val="nil"/>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20%</w:t>
            </w:r>
          </w:p>
        </w:tc>
        <w:tc>
          <w:tcPr>
            <w:tcW w:w="540" w:type="dxa"/>
            <w:tcBorders>
              <w:top w:val="nil"/>
              <w:left w:val="nil"/>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10%</w:t>
            </w:r>
          </w:p>
        </w:tc>
        <w:tc>
          <w:tcPr>
            <w:tcW w:w="540" w:type="dxa"/>
            <w:tcBorders>
              <w:top w:val="nil"/>
              <w:left w:val="nil"/>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0%</w:t>
            </w:r>
          </w:p>
        </w:tc>
        <w:tc>
          <w:tcPr>
            <w:tcW w:w="540" w:type="dxa"/>
            <w:tcBorders>
              <w:top w:val="nil"/>
              <w:left w:val="nil"/>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40%</w:t>
            </w:r>
          </w:p>
        </w:tc>
        <w:tc>
          <w:tcPr>
            <w:tcW w:w="540" w:type="dxa"/>
            <w:tcBorders>
              <w:top w:val="nil"/>
              <w:left w:val="nil"/>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30%</w:t>
            </w:r>
          </w:p>
        </w:tc>
        <w:tc>
          <w:tcPr>
            <w:tcW w:w="540" w:type="dxa"/>
            <w:tcBorders>
              <w:top w:val="nil"/>
              <w:left w:val="nil"/>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20%</w:t>
            </w:r>
          </w:p>
        </w:tc>
        <w:tc>
          <w:tcPr>
            <w:tcW w:w="540" w:type="dxa"/>
            <w:tcBorders>
              <w:top w:val="nil"/>
              <w:left w:val="nil"/>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10%</w:t>
            </w:r>
          </w:p>
        </w:tc>
        <w:tc>
          <w:tcPr>
            <w:tcW w:w="540" w:type="dxa"/>
            <w:tcBorders>
              <w:top w:val="nil"/>
              <w:left w:val="nil"/>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40%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30%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20%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10%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40%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30%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20%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10%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0%</w:t>
            </w:r>
          </w:p>
        </w:tc>
      </w:tr>
      <w:tr w:rsidR="003F5BF8" w:rsidRPr="003F5BF8" w:rsidTr="003F5BF8">
        <w:trPr>
          <w:trHeight w:val="25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 xml:space="preserve">Warwick </w:t>
            </w:r>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60</w:t>
            </w:r>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160</w:t>
            </w:r>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20</w:t>
            </w:r>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160</w:t>
            </w:r>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260</w:t>
            </w:r>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80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220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140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260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r w:rsidR="003F5BF8" w:rsidRPr="003F5BF8" w:rsidTr="003F5BF8">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 xml:space="preserve">Leamington Spa </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r w:rsidR="003F5BF8" w:rsidRPr="003F5BF8" w:rsidTr="003F5BF8">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 xml:space="preserve">Kenilworth </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120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280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220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r w:rsidR="003F5BF8" w:rsidRPr="003F5BF8" w:rsidTr="003F5BF8">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Rural areas (higher value)</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r w:rsidR="003F5BF8" w:rsidRPr="003F5BF8" w:rsidTr="003F5BF8">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Rural areas (lower value)</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60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180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160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60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220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120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280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bl>
    <w:p w:rsidR="003F5BF8" w:rsidRDefault="003F5BF8" w:rsidP="00F0448E">
      <w:pPr>
        <w:spacing w:after="0" w:line="240" w:lineRule="auto"/>
        <w:rPr>
          <w:rFonts w:ascii="Arial" w:hAnsi="Arial" w:cs="Arial"/>
          <w:sz w:val="20"/>
          <w:szCs w:val="20"/>
        </w:rPr>
      </w:pPr>
    </w:p>
    <w:p w:rsidR="003F5BF8" w:rsidRDefault="003F5BF8" w:rsidP="00F0448E">
      <w:pPr>
        <w:spacing w:after="0" w:line="240" w:lineRule="auto"/>
        <w:rPr>
          <w:rFonts w:ascii="Arial" w:hAnsi="Arial" w:cs="Arial"/>
          <w:sz w:val="20"/>
          <w:szCs w:val="20"/>
        </w:rPr>
      </w:pPr>
    </w:p>
    <w:tbl>
      <w:tblPr>
        <w:tblW w:w="13000" w:type="dxa"/>
        <w:tblInd w:w="93" w:type="dxa"/>
        <w:tblLook w:val="04A0" w:firstRow="1" w:lastRow="0" w:firstColumn="1" w:lastColumn="0" w:noHBand="0" w:noVBand="1"/>
      </w:tblPr>
      <w:tblGrid>
        <w:gridCol w:w="220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tblGrid>
      <w:tr w:rsidR="003F5BF8" w:rsidRPr="003F5BF8" w:rsidTr="003F5BF8">
        <w:trPr>
          <w:trHeight w:val="255"/>
        </w:trPr>
        <w:tc>
          <w:tcPr>
            <w:tcW w:w="2200" w:type="dxa"/>
            <w:tcBorders>
              <w:top w:val="single" w:sz="4" w:space="0" w:color="auto"/>
              <w:left w:val="single" w:sz="4" w:space="0" w:color="auto"/>
              <w:bottom w:val="single" w:sz="4" w:space="0" w:color="auto"/>
              <w:right w:val="nil"/>
            </w:tcBorders>
            <w:shd w:val="clear" w:color="000000" w:fill="FFFF99"/>
            <w:noWrap/>
            <w:vAlign w:val="bottom"/>
            <w:hideMark/>
          </w:tcPr>
          <w:p w:rsidR="003F5BF8" w:rsidRPr="003F5BF8" w:rsidRDefault="003F5BF8" w:rsidP="003F5BF8">
            <w:pPr>
              <w:spacing w:after="0" w:line="240" w:lineRule="auto"/>
              <w:rPr>
                <w:rFonts w:ascii="Arial" w:eastAsia="Times New Roman" w:hAnsi="Arial" w:cs="Arial"/>
                <w:b/>
                <w:bCs/>
                <w:sz w:val="20"/>
                <w:szCs w:val="20"/>
                <w:lang w:eastAsia="en-GB"/>
              </w:rPr>
            </w:pPr>
            <w:r w:rsidRPr="003F5BF8">
              <w:rPr>
                <w:rFonts w:ascii="Arial" w:eastAsia="Times New Roman" w:hAnsi="Arial" w:cs="Arial"/>
                <w:b/>
                <w:bCs/>
                <w:sz w:val="20"/>
                <w:szCs w:val="20"/>
                <w:lang w:eastAsia="en-GB"/>
              </w:rPr>
              <w:t>Site type</w:t>
            </w:r>
          </w:p>
        </w:tc>
        <w:tc>
          <w:tcPr>
            <w:tcW w:w="3240" w:type="dxa"/>
            <w:gridSpan w:val="6"/>
            <w:tcBorders>
              <w:top w:val="single" w:sz="4" w:space="0" w:color="auto"/>
              <w:left w:val="nil"/>
              <w:bottom w:val="single" w:sz="4" w:space="0" w:color="auto"/>
              <w:right w:val="nil"/>
            </w:tcBorders>
            <w:shd w:val="clear" w:color="000000" w:fill="FFFF99"/>
            <w:noWrap/>
            <w:vAlign w:val="bottom"/>
            <w:hideMark/>
          </w:tcPr>
          <w:p w:rsidR="003F5BF8" w:rsidRPr="003F5BF8" w:rsidRDefault="003F5BF8" w:rsidP="003F5BF8">
            <w:pPr>
              <w:spacing w:after="0" w:line="240" w:lineRule="auto"/>
              <w:rPr>
                <w:rFonts w:ascii="Arial" w:eastAsia="Times New Roman" w:hAnsi="Arial" w:cs="Arial"/>
                <w:b/>
                <w:bCs/>
                <w:sz w:val="20"/>
                <w:szCs w:val="20"/>
                <w:lang w:eastAsia="en-GB"/>
              </w:rPr>
            </w:pPr>
            <w:r w:rsidRPr="003F5BF8">
              <w:rPr>
                <w:rFonts w:ascii="Arial" w:eastAsia="Times New Roman" w:hAnsi="Arial" w:cs="Arial"/>
                <w:b/>
                <w:bCs/>
                <w:sz w:val="20"/>
                <w:szCs w:val="20"/>
                <w:lang w:eastAsia="en-GB"/>
              </w:rPr>
              <w:t xml:space="preserve">Type 12 - 200 units - greenfield </w:t>
            </w:r>
          </w:p>
        </w:tc>
        <w:tc>
          <w:tcPr>
            <w:tcW w:w="540" w:type="dxa"/>
            <w:tcBorders>
              <w:top w:val="single" w:sz="4" w:space="0" w:color="auto"/>
              <w:left w:val="nil"/>
              <w:bottom w:val="single" w:sz="4" w:space="0" w:color="auto"/>
              <w:right w:val="nil"/>
            </w:tcBorders>
            <w:shd w:val="clear" w:color="000000" w:fill="FFFF99"/>
            <w:noWrap/>
            <w:vAlign w:val="bottom"/>
            <w:hideMark/>
          </w:tcPr>
          <w:p w:rsidR="003F5BF8" w:rsidRPr="003F5BF8" w:rsidRDefault="003F5BF8" w:rsidP="003F5BF8">
            <w:pPr>
              <w:spacing w:after="0" w:line="240" w:lineRule="auto"/>
              <w:rPr>
                <w:rFonts w:ascii="Arial" w:eastAsia="Times New Roman" w:hAnsi="Arial" w:cs="Arial"/>
                <w:b/>
                <w:bCs/>
                <w:sz w:val="20"/>
                <w:szCs w:val="20"/>
                <w:lang w:eastAsia="en-GB"/>
              </w:rPr>
            </w:pPr>
            <w:r w:rsidRPr="003F5BF8">
              <w:rPr>
                <w:rFonts w:ascii="Arial" w:eastAsia="Times New Roman" w:hAnsi="Arial" w:cs="Arial"/>
                <w:b/>
                <w:bCs/>
                <w:sz w:val="20"/>
                <w:szCs w:val="20"/>
                <w:lang w:eastAsia="en-GB"/>
              </w:rPr>
              <w:t> </w:t>
            </w:r>
          </w:p>
        </w:tc>
        <w:tc>
          <w:tcPr>
            <w:tcW w:w="540" w:type="dxa"/>
            <w:tcBorders>
              <w:top w:val="single" w:sz="4" w:space="0" w:color="auto"/>
              <w:left w:val="nil"/>
              <w:bottom w:val="single" w:sz="4" w:space="0" w:color="auto"/>
              <w:right w:val="single" w:sz="4" w:space="0" w:color="auto"/>
            </w:tcBorders>
            <w:shd w:val="clear" w:color="000000" w:fill="FFFF99"/>
            <w:noWrap/>
            <w:vAlign w:val="bottom"/>
            <w:hideMark/>
          </w:tcPr>
          <w:p w:rsidR="003F5BF8" w:rsidRPr="003F5BF8" w:rsidRDefault="003F5BF8" w:rsidP="003F5BF8">
            <w:pPr>
              <w:spacing w:after="0" w:line="240" w:lineRule="auto"/>
              <w:rPr>
                <w:rFonts w:ascii="Arial" w:eastAsia="Times New Roman" w:hAnsi="Arial" w:cs="Arial"/>
                <w:b/>
                <w:bCs/>
                <w:sz w:val="20"/>
                <w:szCs w:val="20"/>
                <w:lang w:eastAsia="en-GB"/>
              </w:rPr>
            </w:pPr>
            <w:r w:rsidRPr="003F5BF8">
              <w:rPr>
                <w:rFonts w:ascii="Arial" w:eastAsia="Times New Roman" w:hAnsi="Arial" w:cs="Arial"/>
                <w:b/>
                <w:bCs/>
                <w:sz w:val="20"/>
                <w:szCs w:val="20"/>
                <w:lang w:eastAsia="en-GB"/>
              </w:rPr>
              <w:t> </w:t>
            </w: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r>
      <w:tr w:rsidR="003F5BF8" w:rsidRPr="003F5BF8" w:rsidTr="003F5BF8">
        <w:trPr>
          <w:trHeight w:val="255"/>
        </w:trPr>
        <w:tc>
          <w:tcPr>
            <w:tcW w:w="220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p>
        </w:tc>
        <w:tc>
          <w:tcPr>
            <w:tcW w:w="270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3F5BF8" w:rsidRPr="003F5BF8" w:rsidRDefault="003F5BF8" w:rsidP="003F5BF8">
            <w:pPr>
              <w:spacing w:after="0" w:line="240" w:lineRule="auto"/>
              <w:jc w:val="center"/>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BLV1</w:t>
            </w:r>
          </w:p>
        </w:tc>
        <w:tc>
          <w:tcPr>
            <w:tcW w:w="2700" w:type="dxa"/>
            <w:gridSpan w:val="5"/>
            <w:tcBorders>
              <w:top w:val="single" w:sz="4" w:space="0" w:color="auto"/>
              <w:left w:val="nil"/>
              <w:bottom w:val="single" w:sz="4" w:space="0" w:color="auto"/>
              <w:right w:val="single" w:sz="4" w:space="0" w:color="000000"/>
            </w:tcBorders>
            <w:shd w:val="clear" w:color="auto" w:fill="auto"/>
            <w:vAlign w:val="center"/>
            <w:hideMark/>
          </w:tcPr>
          <w:p w:rsidR="003F5BF8" w:rsidRPr="003F5BF8" w:rsidRDefault="003F5BF8" w:rsidP="003F5BF8">
            <w:pPr>
              <w:spacing w:after="0" w:line="240" w:lineRule="auto"/>
              <w:jc w:val="center"/>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BLV2</w:t>
            </w:r>
          </w:p>
        </w:tc>
        <w:tc>
          <w:tcPr>
            <w:tcW w:w="2700" w:type="dxa"/>
            <w:gridSpan w:val="5"/>
            <w:tcBorders>
              <w:top w:val="single" w:sz="4" w:space="0" w:color="auto"/>
              <w:left w:val="nil"/>
              <w:bottom w:val="single" w:sz="4" w:space="0" w:color="auto"/>
              <w:right w:val="single" w:sz="4" w:space="0" w:color="000000"/>
            </w:tcBorders>
            <w:shd w:val="clear" w:color="000000" w:fill="D8E4BC"/>
            <w:vAlign w:val="center"/>
            <w:hideMark/>
          </w:tcPr>
          <w:p w:rsidR="003F5BF8" w:rsidRPr="003F5BF8" w:rsidRDefault="003F5BF8" w:rsidP="003F5BF8">
            <w:pPr>
              <w:spacing w:after="0" w:line="240" w:lineRule="auto"/>
              <w:jc w:val="center"/>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BLV3</w:t>
            </w:r>
          </w:p>
        </w:tc>
        <w:tc>
          <w:tcPr>
            <w:tcW w:w="2700" w:type="dxa"/>
            <w:gridSpan w:val="5"/>
            <w:tcBorders>
              <w:top w:val="single" w:sz="4" w:space="0" w:color="auto"/>
              <w:left w:val="nil"/>
              <w:bottom w:val="single" w:sz="4" w:space="0" w:color="auto"/>
              <w:right w:val="single" w:sz="4" w:space="0" w:color="000000"/>
            </w:tcBorders>
            <w:shd w:val="clear" w:color="000000" w:fill="D8E4BC"/>
            <w:vAlign w:val="center"/>
            <w:hideMark/>
          </w:tcPr>
          <w:p w:rsidR="003F5BF8" w:rsidRPr="003F5BF8" w:rsidRDefault="003F5BF8" w:rsidP="003F5BF8">
            <w:pPr>
              <w:spacing w:after="0" w:line="240" w:lineRule="auto"/>
              <w:jc w:val="center"/>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BLV4</w:t>
            </w:r>
          </w:p>
        </w:tc>
      </w:tr>
      <w:tr w:rsidR="003F5BF8" w:rsidRPr="003F5BF8" w:rsidTr="003F5BF8">
        <w:trPr>
          <w:trHeight w:val="255"/>
        </w:trPr>
        <w:tc>
          <w:tcPr>
            <w:tcW w:w="220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p>
        </w:tc>
        <w:tc>
          <w:tcPr>
            <w:tcW w:w="540" w:type="dxa"/>
            <w:tcBorders>
              <w:top w:val="nil"/>
              <w:left w:val="single" w:sz="4" w:space="0" w:color="auto"/>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40%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30%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20%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10%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40%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30%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20%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10%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40%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30%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20%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10%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40%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30%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20%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10%</w:t>
            </w:r>
          </w:p>
        </w:tc>
        <w:tc>
          <w:tcPr>
            <w:tcW w:w="540" w:type="dxa"/>
            <w:tcBorders>
              <w:top w:val="nil"/>
              <w:left w:val="nil"/>
              <w:bottom w:val="nil"/>
              <w:right w:val="single" w:sz="4" w:space="0" w:color="auto"/>
            </w:tcBorders>
            <w:shd w:val="clear" w:color="000000" w:fill="D8E4BC"/>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0%</w:t>
            </w:r>
          </w:p>
        </w:tc>
      </w:tr>
      <w:tr w:rsidR="003F5BF8" w:rsidRPr="003F5BF8" w:rsidTr="003F5BF8">
        <w:trPr>
          <w:trHeight w:val="25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 xml:space="preserve">Warwick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120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40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180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280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120</w:t>
            </w:r>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240</w:t>
            </w:r>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40</w:t>
            </w:r>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200</w:t>
            </w:r>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single" w:sz="4" w:space="0" w:color="auto"/>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r w:rsidR="003F5BF8" w:rsidRPr="003F5BF8" w:rsidTr="003F5BF8">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 xml:space="preserve">Leamington Spa </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140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r w:rsidR="003F5BF8" w:rsidRPr="003F5BF8" w:rsidTr="003F5BF8">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 xml:space="preserve">Kenilworth </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60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240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260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r w:rsidR="003F5BF8" w:rsidRPr="003F5BF8" w:rsidTr="003F5BF8">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Rural areas (higher value)</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r w:rsidR="003F5BF8" w:rsidRPr="003F5BF8" w:rsidTr="003F5BF8">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Rural areas (lower value)</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140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240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180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260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D8E4BC"/>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bl>
    <w:p w:rsidR="003F5BF8" w:rsidRDefault="003F5BF8" w:rsidP="00F0448E">
      <w:pPr>
        <w:spacing w:after="0" w:line="240" w:lineRule="auto"/>
        <w:rPr>
          <w:rFonts w:ascii="Arial" w:hAnsi="Arial" w:cs="Arial"/>
          <w:sz w:val="20"/>
          <w:szCs w:val="20"/>
        </w:rPr>
      </w:pPr>
    </w:p>
    <w:p w:rsidR="003F5BF8" w:rsidRDefault="003F5BF8" w:rsidP="00F0448E">
      <w:pPr>
        <w:spacing w:after="0" w:line="240" w:lineRule="auto"/>
        <w:rPr>
          <w:rFonts w:ascii="Arial" w:hAnsi="Arial" w:cs="Arial"/>
          <w:sz w:val="20"/>
          <w:szCs w:val="20"/>
        </w:rPr>
      </w:pPr>
    </w:p>
    <w:p w:rsidR="003F5BF8" w:rsidRDefault="003F5BF8" w:rsidP="00F0448E">
      <w:pPr>
        <w:spacing w:after="0" w:line="240" w:lineRule="auto"/>
        <w:rPr>
          <w:rFonts w:ascii="Arial" w:hAnsi="Arial" w:cs="Arial"/>
          <w:sz w:val="20"/>
          <w:szCs w:val="20"/>
        </w:rPr>
      </w:pPr>
    </w:p>
    <w:tbl>
      <w:tblPr>
        <w:tblW w:w="13000" w:type="dxa"/>
        <w:tblInd w:w="93" w:type="dxa"/>
        <w:tblLook w:val="04A0" w:firstRow="1" w:lastRow="0" w:firstColumn="1" w:lastColumn="0" w:noHBand="0" w:noVBand="1"/>
      </w:tblPr>
      <w:tblGrid>
        <w:gridCol w:w="220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tblGrid>
      <w:tr w:rsidR="003F5BF8" w:rsidRPr="003F5BF8" w:rsidTr="003F5BF8">
        <w:trPr>
          <w:trHeight w:val="255"/>
        </w:trPr>
        <w:tc>
          <w:tcPr>
            <w:tcW w:w="2200" w:type="dxa"/>
            <w:tcBorders>
              <w:top w:val="single" w:sz="4" w:space="0" w:color="auto"/>
              <w:left w:val="single" w:sz="4" w:space="0" w:color="auto"/>
              <w:bottom w:val="single" w:sz="4" w:space="0" w:color="auto"/>
              <w:right w:val="nil"/>
            </w:tcBorders>
            <w:shd w:val="clear" w:color="000000" w:fill="FFFF99"/>
            <w:noWrap/>
            <w:vAlign w:val="bottom"/>
            <w:hideMark/>
          </w:tcPr>
          <w:p w:rsidR="003F5BF8" w:rsidRPr="003F5BF8" w:rsidRDefault="003F5BF8" w:rsidP="003F5BF8">
            <w:pPr>
              <w:spacing w:after="0" w:line="240" w:lineRule="auto"/>
              <w:rPr>
                <w:rFonts w:ascii="Arial" w:eastAsia="Times New Roman" w:hAnsi="Arial" w:cs="Arial"/>
                <w:b/>
                <w:bCs/>
                <w:sz w:val="20"/>
                <w:szCs w:val="20"/>
                <w:lang w:eastAsia="en-GB"/>
              </w:rPr>
            </w:pPr>
            <w:r w:rsidRPr="003F5BF8">
              <w:rPr>
                <w:rFonts w:ascii="Arial" w:eastAsia="Times New Roman" w:hAnsi="Arial" w:cs="Arial"/>
                <w:b/>
                <w:bCs/>
                <w:sz w:val="20"/>
                <w:szCs w:val="20"/>
                <w:lang w:eastAsia="en-GB"/>
              </w:rPr>
              <w:lastRenderedPageBreak/>
              <w:t>Site type</w:t>
            </w:r>
          </w:p>
        </w:tc>
        <w:tc>
          <w:tcPr>
            <w:tcW w:w="3240" w:type="dxa"/>
            <w:gridSpan w:val="6"/>
            <w:tcBorders>
              <w:top w:val="single" w:sz="4" w:space="0" w:color="auto"/>
              <w:left w:val="nil"/>
              <w:bottom w:val="single" w:sz="4" w:space="0" w:color="auto"/>
              <w:right w:val="nil"/>
            </w:tcBorders>
            <w:shd w:val="clear" w:color="000000" w:fill="FFFF99"/>
            <w:noWrap/>
            <w:vAlign w:val="bottom"/>
            <w:hideMark/>
          </w:tcPr>
          <w:p w:rsidR="003F5BF8" w:rsidRPr="003F5BF8" w:rsidRDefault="003F5BF8" w:rsidP="003F5BF8">
            <w:pPr>
              <w:spacing w:after="0" w:line="240" w:lineRule="auto"/>
              <w:rPr>
                <w:rFonts w:ascii="Arial" w:eastAsia="Times New Roman" w:hAnsi="Arial" w:cs="Arial"/>
                <w:b/>
                <w:bCs/>
                <w:sz w:val="20"/>
                <w:szCs w:val="20"/>
                <w:lang w:eastAsia="en-GB"/>
              </w:rPr>
            </w:pPr>
            <w:r w:rsidRPr="003F5BF8">
              <w:rPr>
                <w:rFonts w:ascii="Arial" w:eastAsia="Times New Roman" w:hAnsi="Arial" w:cs="Arial"/>
                <w:b/>
                <w:bCs/>
                <w:sz w:val="20"/>
                <w:szCs w:val="20"/>
                <w:lang w:eastAsia="en-GB"/>
              </w:rPr>
              <w:t xml:space="preserve">Type 13 - 200 units - brownfield </w:t>
            </w:r>
          </w:p>
        </w:tc>
        <w:tc>
          <w:tcPr>
            <w:tcW w:w="540" w:type="dxa"/>
            <w:tcBorders>
              <w:top w:val="single" w:sz="4" w:space="0" w:color="auto"/>
              <w:left w:val="nil"/>
              <w:bottom w:val="single" w:sz="4" w:space="0" w:color="auto"/>
              <w:right w:val="nil"/>
            </w:tcBorders>
            <w:shd w:val="clear" w:color="000000" w:fill="FFFF99"/>
            <w:noWrap/>
            <w:vAlign w:val="bottom"/>
            <w:hideMark/>
          </w:tcPr>
          <w:p w:rsidR="003F5BF8" w:rsidRPr="003F5BF8" w:rsidRDefault="003F5BF8" w:rsidP="003F5BF8">
            <w:pPr>
              <w:spacing w:after="0" w:line="240" w:lineRule="auto"/>
              <w:rPr>
                <w:rFonts w:ascii="Arial" w:eastAsia="Times New Roman" w:hAnsi="Arial" w:cs="Arial"/>
                <w:b/>
                <w:bCs/>
                <w:sz w:val="20"/>
                <w:szCs w:val="20"/>
                <w:lang w:eastAsia="en-GB"/>
              </w:rPr>
            </w:pPr>
            <w:r w:rsidRPr="003F5BF8">
              <w:rPr>
                <w:rFonts w:ascii="Arial" w:eastAsia="Times New Roman" w:hAnsi="Arial" w:cs="Arial"/>
                <w:b/>
                <w:bCs/>
                <w:sz w:val="20"/>
                <w:szCs w:val="20"/>
                <w:lang w:eastAsia="en-GB"/>
              </w:rPr>
              <w:t> </w:t>
            </w:r>
          </w:p>
        </w:tc>
        <w:tc>
          <w:tcPr>
            <w:tcW w:w="540" w:type="dxa"/>
            <w:tcBorders>
              <w:top w:val="single" w:sz="4" w:space="0" w:color="auto"/>
              <w:left w:val="nil"/>
              <w:bottom w:val="single" w:sz="4" w:space="0" w:color="auto"/>
              <w:right w:val="single" w:sz="4" w:space="0" w:color="auto"/>
            </w:tcBorders>
            <w:shd w:val="clear" w:color="000000" w:fill="FFFF99"/>
            <w:noWrap/>
            <w:vAlign w:val="bottom"/>
            <w:hideMark/>
          </w:tcPr>
          <w:p w:rsidR="003F5BF8" w:rsidRPr="003F5BF8" w:rsidRDefault="003F5BF8" w:rsidP="003F5BF8">
            <w:pPr>
              <w:spacing w:after="0" w:line="240" w:lineRule="auto"/>
              <w:rPr>
                <w:rFonts w:ascii="Arial" w:eastAsia="Times New Roman" w:hAnsi="Arial" w:cs="Arial"/>
                <w:b/>
                <w:bCs/>
                <w:sz w:val="20"/>
                <w:szCs w:val="20"/>
                <w:lang w:eastAsia="en-GB"/>
              </w:rPr>
            </w:pPr>
            <w:r w:rsidRPr="003F5BF8">
              <w:rPr>
                <w:rFonts w:ascii="Arial" w:eastAsia="Times New Roman" w:hAnsi="Arial" w:cs="Arial"/>
                <w:b/>
                <w:bCs/>
                <w:sz w:val="20"/>
                <w:szCs w:val="20"/>
                <w:lang w:eastAsia="en-GB"/>
              </w:rPr>
              <w:t> </w:t>
            </w: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c>
          <w:tcPr>
            <w:tcW w:w="54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20"/>
                <w:szCs w:val="20"/>
                <w:lang w:eastAsia="en-GB"/>
              </w:rPr>
            </w:pPr>
          </w:p>
        </w:tc>
      </w:tr>
      <w:tr w:rsidR="003F5BF8" w:rsidRPr="003F5BF8" w:rsidTr="003F5BF8">
        <w:trPr>
          <w:trHeight w:val="255"/>
        </w:trPr>
        <w:tc>
          <w:tcPr>
            <w:tcW w:w="220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p>
        </w:tc>
        <w:tc>
          <w:tcPr>
            <w:tcW w:w="2700" w:type="dxa"/>
            <w:gridSpan w:val="5"/>
            <w:tcBorders>
              <w:top w:val="single" w:sz="4" w:space="0" w:color="auto"/>
              <w:left w:val="single" w:sz="4" w:space="0" w:color="auto"/>
              <w:bottom w:val="single" w:sz="4" w:space="0" w:color="auto"/>
              <w:right w:val="single" w:sz="4" w:space="0" w:color="000000"/>
            </w:tcBorders>
            <w:shd w:val="clear" w:color="000000" w:fill="FCD5B4"/>
            <w:vAlign w:val="center"/>
            <w:hideMark/>
          </w:tcPr>
          <w:p w:rsidR="003F5BF8" w:rsidRPr="003F5BF8" w:rsidRDefault="003F5BF8" w:rsidP="003F5BF8">
            <w:pPr>
              <w:spacing w:after="0" w:line="240" w:lineRule="auto"/>
              <w:jc w:val="center"/>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BLV1</w:t>
            </w:r>
          </w:p>
        </w:tc>
        <w:tc>
          <w:tcPr>
            <w:tcW w:w="2700" w:type="dxa"/>
            <w:gridSpan w:val="5"/>
            <w:tcBorders>
              <w:top w:val="single" w:sz="4" w:space="0" w:color="auto"/>
              <w:left w:val="nil"/>
              <w:bottom w:val="single" w:sz="4" w:space="0" w:color="auto"/>
              <w:right w:val="single" w:sz="4" w:space="0" w:color="000000"/>
            </w:tcBorders>
            <w:shd w:val="clear" w:color="000000" w:fill="FCD5B4"/>
            <w:vAlign w:val="center"/>
            <w:hideMark/>
          </w:tcPr>
          <w:p w:rsidR="003F5BF8" w:rsidRPr="003F5BF8" w:rsidRDefault="003F5BF8" w:rsidP="003F5BF8">
            <w:pPr>
              <w:spacing w:after="0" w:line="240" w:lineRule="auto"/>
              <w:jc w:val="center"/>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BLV2</w:t>
            </w:r>
          </w:p>
        </w:tc>
        <w:tc>
          <w:tcPr>
            <w:tcW w:w="2700" w:type="dxa"/>
            <w:gridSpan w:val="5"/>
            <w:tcBorders>
              <w:top w:val="single" w:sz="4" w:space="0" w:color="auto"/>
              <w:left w:val="nil"/>
              <w:bottom w:val="single" w:sz="4" w:space="0" w:color="auto"/>
              <w:right w:val="single" w:sz="4" w:space="0" w:color="000000"/>
            </w:tcBorders>
            <w:shd w:val="clear" w:color="auto" w:fill="auto"/>
            <w:vAlign w:val="center"/>
            <w:hideMark/>
          </w:tcPr>
          <w:p w:rsidR="003F5BF8" w:rsidRPr="003F5BF8" w:rsidRDefault="003F5BF8" w:rsidP="003F5BF8">
            <w:pPr>
              <w:spacing w:after="0" w:line="240" w:lineRule="auto"/>
              <w:jc w:val="center"/>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BLV3</w:t>
            </w:r>
          </w:p>
        </w:tc>
        <w:tc>
          <w:tcPr>
            <w:tcW w:w="2700" w:type="dxa"/>
            <w:gridSpan w:val="5"/>
            <w:tcBorders>
              <w:top w:val="single" w:sz="4" w:space="0" w:color="auto"/>
              <w:left w:val="nil"/>
              <w:bottom w:val="single" w:sz="4" w:space="0" w:color="auto"/>
              <w:right w:val="single" w:sz="4" w:space="0" w:color="000000"/>
            </w:tcBorders>
            <w:shd w:val="clear" w:color="auto" w:fill="auto"/>
            <w:vAlign w:val="center"/>
            <w:hideMark/>
          </w:tcPr>
          <w:p w:rsidR="003F5BF8" w:rsidRPr="003F5BF8" w:rsidRDefault="003F5BF8" w:rsidP="003F5BF8">
            <w:pPr>
              <w:spacing w:after="0" w:line="240" w:lineRule="auto"/>
              <w:jc w:val="center"/>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BLV4</w:t>
            </w:r>
          </w:p>
        </w:tc>
      </w:tr>
      <w:tr w:rsidR="003F5BF8" w:rsidRPr="003F5BF8" w:rsidTr="003F5BF8">
        <w:trPr>
          <w:trHeight w:val="255"/>
        </w:trPr>
        <w:tc>
          <w:tcPr>
            <w:tcW w:w="2200" w:type="dxa"/>
            <w:tcBorders>
              <w:top w:val="nil"/>
              <w:left w:val="nil"/>
              <w:bottom w:val="nil"/>
              <w:right w:val="nil"/>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p>
        </w:tc>
        <w:tc>
          <w:tcPr>
            <w:tcW w:w="540" w:type="dxa"/>
            <w:tcBorders>
              <w:top w:val="nil"/>
              <w:left w:val="single" w:sz="4" w:space="0" w:color="auto"/>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40%</w:t>
            </w:r>
          </w:p>
        </w:tc>
        <w:tc>
          <w:tcPr>
            <w:tcW w:w="540" w:type="dxa"/>
            <w:tcBorders>
              <w:top w:val="nil"/>
              <w:left w:val="nil"/>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30%</w:t>
            </w:r>
          </w:p>
        </w:tc>
        <w:tc>
          <w:tcPr>
            <w:tcW w:w="540" w:type="dxa"/>
            <w:tcBorders>
              <w:top w:val="nil"/>
              <w:left w:val="nil"/>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20%</w:t>
            </w:r>
          </w:p>
        </w:tc>
        <w:tc>
          <w:tcPr>
            <w:tcW w:w="540" w:type="dxa"/>
            <w:tcBorders>
              <w:top w:val="nil"/>
              <w:left w:val="nil"/>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10%</w:t>
            </w:r>
          </w:p>
        </w:tc>
        <w:tc>
          <w:tcPr>
            <w:tcW w:w="540" w:type="dxa"/>
            <w:tcBorders>
              <w:top w:val="nil"/>
              <w:left w:val="nil"/>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0%</w:t>
            </w:r>
          </w:p>
        </w:tc>
        <w:tc>
          <w:tcPr>
            <w:tcW w:w="540" w:type="dxa"/>
            <w:tcBorders>
              <w:top w:val="nil"/>
              <w:left w:val="nil"/>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40%</w:t>
            </w:r>
          </w:p>
        </w:tc>
        <w:tc>
          <w:tcPr>
            <w:tcW w:w="540" w:type="dxa"/>
            <w:tcBorders>
              <w:top w:val="nil"/>
              <w:left w:val="nil"/>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30%</w:t>
            </w:r>
          </w:p>
        </w:tc>
        <w:tc>
          <w:tcPr>
            <w:tcW w:w="540" w:type="dxa"/>
            <w:tcBorders>
              <w:top w:val="nil"/>
              <w:left w:val="nil"/>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20%</w:t>
            </w:r>
          </w:p>
        </w:tc>
        <w:tc>
          <w:tcPr>
            <w:tcW w:w="540" w:type="dxa"/>
            <w:tcBorders>
              <w:top w:val="nil"/>
              <w:left w:val="nil"/>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10%</w:t>
            </w:r>
          </w:p>
        </w:tc>
        <w:tc>
          <w:tcPr>
            <w:tcW w:w="540" w:type="dxa"/>
            <w:tcBorders>
              <w:top w:val="nil"/>
              <w:left w:val="nil"/>
              <w:bottom w:val="nil"/>
              <w:right w:val="single" w:sz="4" w:space="0" w:color="auto"/>
            </w:tcBorders>
            <w:shd w:val="clear" w:color="000000" w:fill="FCD5B4"/>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40%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30%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20%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10%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40%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30%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20%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10%</w:t>
            </w:r>
          </w:p>
        </w:tc>
        <w:tc>
          <w:tcPr>
            <w:tcW w:w="540" w:type="dxa"/>
            <w:tcBorders>
              <w:top w:val="nil"/>
              <w:left w:val="nil"/>
              <w:bottom w:val="nil"/>
              <w:right w:val="single" w:sz="4" w:space="0" w:color="auto"/>
            </w:tcBorders>
            <w:shd w:val="clear" w:color="auto" w:fill="auto"/>
            <w:vAlign w:val="center"/>
            <w:hideMark/>
          </w:tcPr>
          <w:p w:rsidR="003F5BF8" w:rsidRPr="003F5BF8" w:rsidRDefault="003F5BF8" w:rsidP="003F5BF8">
            <w:pPr>
              <w:spacing w:after="0" w:line="240" w:lineRule="auto"/>
              <w:jc w:val="right"/>
              <w:rPr>
                <w:rFonts w:ascii="Arial" w:eastAsia="Times New Roman" w:hAnsi="Arial" w:cs="Arial"/>
                <w:b/>
                <w:bCs/>
                <w:color w:val="000000"/>
                <w:sz w:val="16"/>
                <w:szCs w:val="16"/>
                <w:lang w:eastAsia="en-GB"/>
              </w:rPr>
            </w:pPr>
            <w:r w:rsidRPr="003F5BF8">
              <w:rPr>
                <w:rFonts w:ascii="Arial" w:eastAsia="Times New Roman" w:hAnsi="Arial" w:cs="Arial"/>
                <w:b/>
                <w:bCs/>
                <w:color w:val="000000"/>
                <w:sz w:val="16"/>
                <w:szCs w:val="16"/>
                <w:lang w:eastAsia="en-GB"/>
              </w:rPr>
              <w:t>0%</w:t>
            </w:r>
          </w:p>
        </w:tc>
      </w:tr>
      <w:tr w:rsidR="003F5BF8" w:rsidRPr="003F5BF8" w:rsidTr="003F5BF8">
        <w:trPr>
          <w:trHeight w:val="25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 xml:space="preserve">Warwick </w:t>
            </w:r>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40</w:t>
            </w:r>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160</w:t>
            </w:r>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20</w:t>
            </w:r>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140</w:t>
            </w:r>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260</w:t>
            </w:r>
          </w:p>
        </w:tc>
        <w:tc>
          <w:tcPr>
            <w:tcW w:w="540" w:type="dxa"/>
            <w:tcBorders>
              <w:top w:val="single" w:sz="4" w:space="0" w:color="auto"/>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80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200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140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260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r w:rsidR="003F5BF8" w:rsidRPr="003F5BF8" w:rsidTr="003F5BF8">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 xml:space="preserve">Leamington Spa </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r w:rsidR="003F5BF8" w:rsidRPr="003F5BF8" w:rsidTr="003F5BF8">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 xml:space="preserve">Kenilworth </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120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280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220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r w:rsidR="003F5BF8" w:rsidRPr="003F5BF8" w:rsidTr="003F5BF8">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Rural areas (higher value)</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r w:rsidR="003F5BF8" w:rsidRPr="003F5BF8" w:rsidTr="003F5BF8">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rPr>
                <w:rFonts w:ascii="Arial" w:eastAsia="Times New Roman" w:hAnsi="Arial" w:cs="Arial"/>
                <w:sz w:val="16"/>
                <w:szCs w:val="16"/>
                <w:lang w:eastAsia="en-GB"/>
              </w:rPr>
            </w:pPr>
            <w:r w:rsidRPr="003F5BF8">
              <w:rPr>
                <w:rFonts w:ascii="Arial" w:eastAsia="Times New Roman" w:hAnsi="Arial" w:cs="Arial"/>
                <w:sz w:val="16"/>
                <w:szCs w:val="16"/>
                <w:lang w:eastAsia="en-GB"/>
              </w:rPr>
              <w:t>Rural areas (lower value)</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40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180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280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proofErr w:type="spellStart"/>
            <w:r>
              <w:rPr>
                <w:rFonts w:ascii="Arial" w:eastAsia="Times New Roman" w:hAnsi="Arial" w:cs="Arial"/>
                <w:sz w:val="16"/>
                <w:szCs w:val="16"/>
                <w:lang w:eastAsia="en-GB"/>
              </w:rPr>
              <w:t>nv</w:t>
            </w:r>
            <w:proofErr w:type="spellEnd"/>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160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280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000000" w:fill="FCD5B4"/>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40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220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120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280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c>
          <w:tcPr>
            <w:tcW w:w="540" w:type="dxa"/>
            <w:tcBorders>
              <w:top w:val="nil"/>
              <w:left w:val="nil"/>
              <w:bottom w:val="single" w:sz="4" w:space="0" w:color="auto"/>
              <w:right w:val="single" w:sz="4" w:space="0" w:color="auto"/>
            </w:tcBorders>
            <w:shd w:val="clear" w:color="auto" w:fill="auto"/>
            <w:noWrap/>
            <w:vAlign w:val="bottom"/>
            <w:hideMark/>
          </w:tcPr>
          <w:p w:rsidR="003F5BF8" w:rsidRPr="003F5BF8" w:rsidRDefault="003F5BF8" w:rsidP="003F5BF8">
            <w:pPr>
              <w:spacing w:after="0" w:line="240" w:lineRule="auto"/>
              <w:jc w:val="right"/>
              <w:rPr>
                <w:rFonts w:ascii="Arial" w:eastAsia="Times New Roman" w:hAnsi="Arial" w:cs="Arial"/>
                <w:sz w:val="16"/>
                <w:szCs w:val="16"/>
                <w:lang w:eastAsia="en-GB"/>
              </w:rPr>
            </w:pPr>
            <w:r w:rsidRPr="003F5BF8">
              <w:rPr>
                <w:rFonts w:ascii="Arial" w:eastAsia="Times New Roman" w:hAnsi="Arial" w:cs="Arial"/>
                <w:sz w:val="16"/>
                <w:szCs w:val="16"/>
                <w:lang w:eastAsia="en-GB"/>
              </w:rPr>
              <w:t>300</w:t>
            </w:r>
          </w:p>
        </w:tc>
      </w:tr>
    </w:tbl>
    <w:p w:rsidR="003F5BF8" w:rsidRDefault="003F5BF8" w:rsidP="00F0448E">
      <w:pPr>
        <w:spacing w:after="0" w:line="240" w:lineRule="auto"/>
        <w:rPr>
          <w:rFonts w:ascii="Arial" w:hAnsi="Arial" w:cs="Arial"/>
          <w:sz w:val="20"/>
          <w:szCs w:val="20"/>
        </w:rPr>
      </w:pPr>
    </w:p>
    <w:p w:rsidR="003F5BF8" w:rsidRDefault="003F5BF8">
      <w:pPr>
        <w:rPr>
          <w:rFonts w:ascii="Arial" w:hAnsi="Arial" w:cs="Arial"/>
          <w:b/>
          <w:sz w:val="20"/>
          <w:szCs w:val="20"/>
        </w:rPr>
      </w:pPr>
      <w:r>
        <w:rPr>
          <w:rFonts w:ascii="Arial" w:hAnsi="Arial" w:cs="Arial"/>
          <w:b/>
          <w:sz w:val="20"/>
          <w:szCs w:val="20"/>
        </w:rPr>
        <w:br w:type="page"/>
      </w:r>
    </w:p>
    <w:p w:rsidR="006B6143" w:rsidRPr="006B6143" w:rsidRDefault="006B6143" w:rsidP="00F0448E">
      <w:pPr>
        <w:spacing w:after="0" w:line="240" w:lineRule="auto"/>
        <w:rPr>
          <w:rFonts w:ascii="Arial" w:hAnsi="Arial" w:cs="Arial"/>
          <w:b/>
          <w:sz w:val="20"/>
          <w:szCs w:val="20"/>
        </w:rPr>
      </w:pPr>
      <w:r w:rsidRPr="006B6143">
        <w:rPr>
          <w:rFonts w:ascii="Arial" w:hAnsi="Arial" w:cs="Arial"/>
          <w:b/>
          <w:sz w:val="20"/>
          <w:szCs w:val="20"/>
        </w:rPr>
        <w:lastRenderedPageBreak/>
        <w:t xml:space="preserve">Appendix 2: Older persons’ housing – maximum CIL rates </w:t>
      </w:r>
    </w:p>
    <w:p w:rsidR="006B6143" w:rsidRDefault="006B6143" w:rsidP="00F0448E">
      <w:pPr>
        <w:spacing w:after="0" w:line="240" w:lineRule="auto"/>
        <w:rPr>
          <w:rFonts w:ascii="Arial" w:hAnsi="Arial" w:cs="Arial"/>
          <w:sz w:val="20"/>
          <w:szCs w:val="20"/>
        </w:rPr>
      </w:pPr>
    </w:p>
    <w:p w:rsidR="006B6143" w:rsidRPr="006B6143" w:rsidRDefault="006B6143" w:rsidP="00F0448E">
      <w:pPr>
        <w:spacing w:after="0" w:line="240" w:lineRule="auto"/>
        <w:rPr>
          <w:rFonts w:ascii="Arial" w:hAnsi="Arial" w:cs="Arial"/>
          <w:b/>
          <w:sz w:val="20"/>
          <w:szCs w:val="20"/>
        </w:rPr>
      </w:pPr>
      <w:r w:rsidRPr="006B6143">
        <w:rPr>
          <w:rFonts w:ascii="Arial" w:hAnsi="Arial" w:cs="Arial"/>
          <w:b/>
          <w:sz w:val="20"/>
          <w:szCs w:val="20"/>
        </w:rPr>
        <w:t xml:space="preserve">Scheme 1: 30 units </w:t>
      </w:r>
    </w:p>
    <w:p w:rsidR="006B6143" w:rsidRDefault="006B6143" w:rsidP="00F0448E">
      <w:pPr>
        <w:spacing w:after="0" w:line="240" w:lineRule="auto"/>
        <w:rPr>
          <w:rFonts w:ascii="Arial" w:hAnsi="Arial" w:cs="Arial"/>
          <w:sz w:val="20"/>
          <w:szCs w:val="20"/>
        </w:rPr>
      </w:pPr>
    </w:p>
    <w:tbl>
      <w:tblPr>
        <w:tblW w:w="12960" w:type="dxa"/>
        <w:tblInd w:w="93" w:type="dxa"/>
        <w:tblLook w:val="04A0" w:firstRow="1" w:lastRow="0" w:firstColumn="1" w:lastColumn="0" w:noHBand="0" w:noVBand="1"/>
      </w:tblPr>
      <w:tblGrid>
        <w:gridCol w:w="2160"/>
        <w:gridCol w:w="558"/>
        <w:gridCol w:w="557"/>
        <w:gridCol w:w="557"/>
        <w:gridCol w:w="557"/>
        <w:gridCol w:w="483"/>
        <w:gridCol w:w="558"/>
        <w:gridCol w:w="557"/>
        <w:gridCol w:w="557"/>
        <w:gridCol w:w="557"/>
        <w:gridCol w:w="483"/>
        <w:gridCol w:w="558"/>
        <w:gridCol w:w="557"/>
        <w:gridCol w:w="557"/>
        <w:gridCol w:w="557"/>
        <w:gridCol w:w="483"/>
        <w:gridCol w:w="558"/>
        <w:gridCol w:w="557"/>
        <w:gridCol w:w="557"/>
        <w:gridCol w:w="557"/>
        <w:gridCol w:w="483"/>
      </w:tblGrid>
      <w:tr w:rsidR="006B6143" w:rsidRPr="006B6143" w:rsidTr="006B6143">
        <w:trPr>
          <w:trHeight w:val="225"/>
        </w:trPr>
        <w:tc>
          <w:tcPr>
            <w:tcW w:w="2160" w:type="dxa"/>
            <w:tcBorders>
              <w:top w:val="nil"/>
              <w:left w:val="nil"/>
              <w:bottom w:val="nil"/>
              <w:right w:val="nil"/>
            </w:tcBorders>
            <w:shd w:val="clear" w:color="auto" w:fill="auto"/>
            <w:noWrap/>
            <w:vAlign w:val="bottom"/>
            <w:hideMark/>
          </w:tcPr>
          <w:p w:rsidR="006B6143" w:rsidRPr="006B6143" w:rsidRDefault="006B6143" w:rsidP="006B6143">
            <w:pPr>
              <w:spacing w:after="0" w:line="240" w:lineRule="auto"/>
              <w:rPr>
                <w:rFonts w:ascii="Arial" w:eastAsia="Times New Roman" w:hAnsi="Arial" w:cs="Arial"/>
                <w:color w:val="000000"/>
                <w:sz w:val="16"/>
                <w:szCs w:val="16"/>
                <w:lang w:eastAsia="en-GB"/>
              </w:rPr>
            </w:pPr>
          </w:p>
        </w:tc>
        <w:tc>
          <w:tcPr>
            <w:tcW w:w="2700" w:type="dxa"/>
            <w:gridSpan w:val="5"/>
            <w:tcBorders>
              <w:top w:val="single" w:sz="8" w:space="0" w:color="auto"/>
              <w:left w:val="single" w:sz="8" w:space="0" w:color="auto"/>
              <w:bottom w:val="single" w:sz="4" w:space="0" w:color="auto"/>
              <w:right w:val="single" w:sz="8" w:space="0" w:color="000000"/>
            </w:tcBorders>
            <w:shd w:val="clear" w:color="000000" w:fill="FCD5B4"/>
            <w:noWrap/>
            <w:vAlign w:val="bottom"/>
            <w:hideMark/>
          </w:tcPr>
          <w:p w:rsidR="006B6143" w:rsidRPr="006B6143" w:rsidRDefault="006B6143" w:rsidP="006B6143">
            <w:pPr>
              <w:spacing w:after="0" w:line="240" w:lineRule="auto"/>
              <w:jc w:val="center"/>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BLV1</w:t>
            </w:r>
          </w:p>
        </w:tc>
        <w:tc>
          <w:tcPr>
            <w:tcW w:w="2700" w:type="dxa"/>
            <w:gridSpan w:val="5"/>
            <w:tcBorders>
              <w:top w:val="single" w:sz="8" w:space="0" w:color="auto"/>
              <w:left w:val="nil"/>
              <w:bottom w:val="single" w:sz="4" w:space="0" w:color="auto"/>
              <w:right w:val="single" w:sz="8" w:space="0" w:color="000000"/>
            </w:tcBorders>
            <w:shd w:val="clear" w:color="000000" w:fill="FCD5B4"/>
            <w:noWrap/>
            <w:vAlign w:val="bottom"/>
            <w:hideMark/>
          </w:tcPr>
          <w:p w:rsidR="006B6143" w:rsidRPr="006B6143" w:rsidRDefault="006B6143" w:rsidP="006B6143">
            <w:pPr>
              <w:spacing w:after="0" w:line="240" w:lineRule="auto"/>
              <w:jc w:val="center"/>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BLV2</w:t>
            </w:r>
          </w:p>
        </w:tc>
        <w:tc>
          <w:tcPr>
            <w:tcW w:w="2700" w:type="dxa"/>
            <w:gridSpan w:val="5"/>
            <w:tcBorders>
              <w:top w:val="single" w:sz="8" w:space="0" w:color="auto"/>
              <w:left w:val="nil"/>
              <w:bottom w:val="single" w:sz="4" w:space="0" w:color="auto"/>
              <w:right w:val="single" w:sz="8" w:space="0" w:color="000000"/>
            </w:tcBorders>
            <w:shd w:val="clear" w:color="000000" w:fill="D8E4BC"/>
            <w:noWrap/>
            <w:vAlign w:val="bottom"/>
            <w:hideMark/>
          </w:tcPr>
          <w:p w:rsidR="006B6143" w:rsidRPr="006B6143" w:rsidRDefault="006B6143" w:rsidP="006B6143">
            <w:pPr>
              <w:spacing w:after="0" w:line="240" w:lineRule="auto"/>
              <w:jc w:val="center"/>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BLV3</w:t>
            </w:r>
          </w:p>
        </w:tc>
        <w:tc>
          <w:tcPr>
            <w:tcW w:w="2700" w:type="dxa"/>
            <w:gridSpan w:val="5"/>
            <w:tcBorders>
              <w:top w:val="single" w:sz="8" w:space="0" w:color="auto"/>
              <w:left w:val="nil"/>
              <w:bottom w:val="single" w:sz="4" w:space="0" w:color="auto"/>
              <w:right w:val="single" w:sz="8" w:space="0" w:color="000000"/>
            </w:tcBorders>
            <w:shd w:val="clear" w:color="000000" w:fill="D8E4BC"/>
            <w:noWrap/>
            <w:vAlign w:val="bottom"/>
            <w:hideMark/>
          </w:tcPr>
          <w:p w:rsidR="006B6143" w:rsidRPr="006B6143" w:rsidRDefault="006B6143" w:rsidP="006B6143">
            <w:pPr>
              <w:spacing w:after="0" w:line="240" w:lineRule="auto"/>
              <w:jc w:val="center"/>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BLV4</w:t>
            </w:r>
          </w:p>
        </w:tc>
      </w:tr>
      <w:tr w:rsidR="006B6143" w:rsidRPr="006B6143" w:rsidTr="006B6143">
        <w:trPr>
          <w:trHeight w:val="225"/>
        </w:trPr>
        <w:tc>
          <w:tcPr>
            <w:tcW w:w="2160" w:type="dxa"/>
            <w:tcBorders>
              <w:top w:val="nil"/>
              <w:left w:val="nil"/>
              <w:bottom w:val="nil"/>
              <w:right w:val="nil"/>
            </w:tcBorders>
            <w:shd w:val="clear" w:color="auto" w:fill="auto"/>
            <w:noWrap/>
            <w:vAlign w:val="bottom"/>
            <w:hideMark/>
          </w:tcPr>
          <w:p w:rsidR="006B6143" w:rsidRPr="006B6143" w:rsidRDefault="006B6143" w:rsidP="006B6143">
            <w:pPr>
              <w:spacing w:after="0" w:line="240" w:lineRule="auto"/>
              <w:rPr>
                <w:rFonts w:ascii="Arial" w:eastAsia="Times New Roman" w:hAnsi="Arial" w:cs="Arial"/>
                <w:color w:val="000000"/>
                <w:sz w:val="16"/>
                <w:szCs w:val="16"/>
                <w:lang w:eastAsia="en-GB"/>
              </w:rPr>
            </w:pPr>
          </w:p>
        </w:tc>
        <w:tc>
          <w:tcPr>
            <w:tcW w:w="558" w:type="dxa"/>
            <w:tcBorders>
              <w:top w:val="nil"/>
              <w:left w:val="single" w:sz="8" w:space="0" w:color="auto"/>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40%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10%</w:t>
            </w:r>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0%</w:t>
            </w:r>
          </w:p>
        </w:tc>
        <w:tc>
          <w:tcPr>
            <w:tcW w:w="558"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40%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10%</w:t>
            </w:r>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0%</w:t>
            </w:r>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40%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10%</w:t>
            </w:r>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0%</w:t>
            </w:r>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40%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10%</w:t>
            </w:r>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0%</w:t>
            </w:r>
          </w:p>
        </w:tc>
      </w:tr>
      <w:tr w:rsidR="006B6143" w:rsidRPr="006B6143" w:rsidTr="006B6143">
        <w:trPr>
          <w:trHeight w:val="225"/>
        </w:trPr>
        <w:tc>
          <w:tcPr>
            <w:tcW w:w="2160" w:type="dxa"/>
            <w:tcBorders>
              <w:top w:val="single" w:sz="4" w:space="0" w:color="auto"/>
              <w:left w:val="single" w:sz="4" w:space="0" w:color="auto"/>
              <w:bottom w:val="single" w:sz="4" w:space="0" w:color="auto"/>
              <w:right w:val="nil"/>
            </w:tcBorders>
            <w:shd w:val="clear" w:color="auto" w:fill="auto"/>
            <w:noWrap/>
            <w:vAlign w:val="bottom"/>
            <w:hideMark/>
          </w:tcPr>
          <w:p w:rsidR="006B6143" w:rsidRPr="006B6143" w:rsidRDefault="006B6143" w:rsidP="006B6143">
            <w:pPr>
              <w:spacing w:after="0" w:line="240" w:lineRule="auto"/>
              <w:rPr>
                <w:rFonts w:ascii="Arial" w:eastAsia="Times New Roman" w:hAnsi="Arial" w:cs="Arial"/>
                <w:sz w:val="16"/>
                <w:szCs w:val="16"/>
                <w:lang w:eastAsia="en-GB"/>
              </w:rPr>
            </w:pPr>
            <w:r w:rsidRPr="006B6143">
              <w:rPr>
                <w:rFonts w:ascii="Arial" w:eastAsia="Times New Roman" w:hAnsi="Arial" w:cs="Arial"/>
                <w:sz w:val="16"/>
                <w:szCs w:val="16"/>
                <w:lang w:eastAsia="en-GB"/>
              </w:rPr>
              <w:t xml:space="preserve">Warwick </w:t>
            </w:r>
          </w:p>
        </w:tc>
        <w:tc>
          <w:tcPr>
            <w:tcW w:w="558" w:type="dxa"/>
            <w:tcBorders>
              <w:top w:val="nil"/>
              <w:left w:val="single" w:sz="8" w:space="0" w:color="auto"/>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8"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r>
      <w:tr w:rsidR="006B6143" w:rsidRPr="006B6143" w:rsidTr="006B6143">
        <w:trPr>
          <w:trHeight w:val="225"/>
        </w:trPr>
        <w:tc>
          <w:tcPr>
            <w:tcW w:w="2160" w:type="dxa"/>
            <w:tcBorders>
              <w:top w:val="nil"/>
              <w:left w:val="single" w:sz="4" w:space="0" w:color="auto"/>
              <w:bottom w:val="single" w:sz="4" w:space="0" w:color="auto"/>
              <w:right w:val="nil"/>
            </w:tcBorders>
            <w:shd w:val="clear" w:color="auto" w:fill="auto"/>
            <w:noWrap/>
            <w:vAlign w:val="bottom"/>
            <w:hideMark/>
          </w:tcPr>
          <w:p w:rsidR="006B6143" w:rsidRPr="006B6143" w:rsidRDefault="006B6143" w:rsidP="006B6143">
            <w:pPr>
              <w:spacing w:after="0" w:line="240" w:lineRule="auto"/>
              <w:rPr>
                <w:rFonts w:ascii="Arial" w:eastAsia="Times New Roman" w:hAnsi="Arial" w:cs="Arial"/>
                <w:sz w:val="16"/>
                <w:szCs w:val="16"/>
                <w:lang w:eastAsia="en-GB"/>
              </w:rPr>
            </w:pPr>
            <w:r w:rsidRPr="006B6143">
              <w:rPr>
                <w:rFonts w:ascii="Arial" w:eastAsia="Times New Roman" w:hAnsi="Arial" w:cs="Arial"/>
                <w:sz w:val="16"/>
                <w:szCs w:val="16"/>
                <w:lang w:eastAsia="en-GB"/>
              </w:rPr>
              <w:t xml:space="preserve">Leamington Spa </w:t>
            </w:r>
          </w:p>
        </w:tc>
        <w:tc>
          <w:tcPr>
            <w:tcW w:w="558" w:type="dxa"/>
            <w:tcBorders>
              <w:top w:val="nil"/>
              <w:left w:val="single" w:sz="8" w:space="0" w:color="auto"/>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160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8"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60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280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80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120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r>
      <w:tr w:rsidR="006B6143" w:rsidRPr="006B6143" w:rsidTr="006B6143">
        <w:trPr>
          <w:trHeight w:val="225"/>
        </w:trPr>
        <w:tc>
          <w:tcPr>
            <w:tcW w:w="2160" w:type="dxa"/>
            <w:tcBorders>
              <w:top w:val="nil"/>
              <w:left w:val="single" w:sz="4" w:space="0" w:color="auto"/>
              <w:bottom w:val="single" w:sz="4" w:space="0" w:color="auto"/>
              <w:right w:val="nil"/>
            </w:tcBorders>
            <w:shd w:val="clear" w:color="auto" w:fill="auto"/>
            <w:noWrap/>
            <w:vAlign w:val="bottom"/>
            <w:hideMark/>
          </w:tcPr>
          <w:p w:rsidR="006B6143" w:rsidRPr="006B6143" w:rsidRDefault="006B6143" w:rsidP="006B6143">
            <w:pPr>
              <w:spacing w:after="0" w:line="240" w:lineRule="auto"/>
              <w:rPr>
                <w:rFonts w:ascii="Arial" w:eastAsia="Times New Roman" w:hAnsi="Arial" w:cs="Arial"/>
                <w:sz w:val="16"/>
                <w:szCs w:val="16"/>
                <w:lang w:eastAsia="en-GB"/>
              </w:rPr>
            </w:pPr>
            <w:r w:rsidRPr="006B6143">
              <w:rPr>
                <w:rFonts w:ascii="Arial" w:eastAsia="Times New Roman" w:hAnsi="Arial" w:cs="Arial"/>
                <w:sz w:val="16"/>
                <w:szCs w:val="16"/>
                <w:lang w:eastAsia="en-GB"/>
              </w:rPr>
              <w:t xml:space="preserve">Kenilworth </w:t>
            </w:r>
          </w:p>
        </w:tc>
        <w:tc>
          <w:tcPr>
            <w:tcW w:w="558" w:type="dxa"/>
            <w:tcBorders>
              <w:top w:val="nil"/>
              <w:left w:val="single" w:sz="8" w:space="0" w:color="auto"/>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60</w:t>
            </w:r>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220</w:t>
            </w:r>
          </w:p>
        </w:tc>
        <w:tc>
          <w:tcPr>
            <w:tcW w:w="558"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160</w:t>
            </w:r>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180</w:t>
            </w:r>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220</w:t>
            </w:r>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200</w:t>
            </w:r>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r>
      <w:tr w:rsidR="006B6143" w:rsidRPr="006B6143" w:rsidTr="006B6143">
        <w:trPr>
          <w:trHeight w:val="225"/>
        </w:trPr>
        <w:tc>
          <w:tcPr>
            <w:tcW w:w="2160" w:type="dxa"/>
            <w:tcBorders>
              <w:top w:val="nil"/>
              <w:left w:val="single" w:sz="4" w:space="0" w:color="auto"/>
              <w:bottom w:val="single" w:sz="4" w:space="0" w:color="auto"/>
              <w:right w:val="nil"/>
            </w:tcBorders>
            <w:shd w:val="clear" w:color="auto" w:fill="auto"/>
            <w:noWrap/>
            <w:vAlign w:val="bottom"/>
            <w:hideMark/>
          </w:tcPr>
          <w:p w:rsidR="006B6143" w:rsidRPr="006B6143" w:rsidRDefault="006B6143" w:rsidP="006B6143">
            <w:pPr>
              <w:spacing w:after="0" w:line="240" w:lineRule="auto"/>
              <w:rPr>
                <w:rFonts w:ascii="Arial" w:eastAsia="Times New Roman" w:hAnsi="Arial" w:cs="Arial"/>
                <w:sz w:val="16"/>
                <w:szCs w:val="16"/>
                <w:lang w:eastAsia="en-GB"/>
              </w:rPr>
            </w:pPr>
            <w:r w:rsidRPr="006B6143">
              <w:rPr>
                <w:rFonts w:ascii="Arial" w:eastAsia="Times New Roman" w:hAnsi="Arial" w:cs="Arial"/>
                <w:sz w:val="16"/>
                <w:szCs w:val="16"/>
                <w:lang w:eastAsia="en-GB"/>
              </w:rPr>
              <w:t>Rural areas (higher value)</w:t>
            </w:r>
          </w:p>
        </w:tc>
        <w:tc>
          <w:tcPr>
            <w:tcW w:w="558" w:type="dxa"/>
            <w:tcBorders>
              <w:top w:val="nil"/>
              <w:left w:val="single" w:sz="8" w:space="0" w:color="auto"/>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140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8"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280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40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r>
      <w:tr w:rsidR="006B6143" w:rsidRPr="006B6143" w:rsidTr="006B6143">
        <w:trPr>
          <w:trHeight w:val="240"/>
        </w:trPr>
        <w:tc>
          <w:tcPr>
            <w:tcW w:w="2160" w:type="dxa"/>
            <w:tcBorders>
              <w:top w:val="nil"/>
              <w:left w:val="single" w:sz="4" w:space="0" w:color="auto"/>
              <w:bottom w:val="single" w:sz="4" w:space="0" w:color="auto"/>
              <w:right w:val="nil"/>
            </w:tcBorders>
            <w:shd w:val="clear" w:color="auto" w:fill="auto"/>
            <w:noWrap/>
            <w:vAlign w:val="bottom"/>
            <w:hideMark/>
          </w:tcPr>
          <w:p w:rsidR="006B6143" w:rsidRPr="006B6143" w:rsidRDefault="006B6143" w:rsidP="006B6143">
            <w:pPr>
              <w:spacing w:after="0" w:line="240" w:lineRule="auto"/>
              <w:rPr>
                <w:rFonts w:ascii="Arial" w:eastAsia="Times New Roman" w:hAnsi="Arial" w:cs="Arial"/>
                <w:sz w:val="16"/>
                <w:szCs w:val="16"/>
                <w:lang w:eastAsia="en-GB"/>
              </w:rPr>
            </w:pPr>
            <w:r w:rsidRPr="006B6143">
              <w:rPr>
                <w:rFonts w:ascii="Arial" w:eastAsia="Times New Roman" w:hAnsi="Arial" w:cs="Arial"/>
                <w:sz w:val="16"/>
                <w:szCs w:val="16"/>
                <w:lang w:eastAsia="en-GB"/>
              </w:rPr>
              <w:t>Rural areas (lower value)</w:t>
            </w:r>
          </w:p>
        </w:tc>
        <w:tc>
          <w:tcPr>
            <w:tcW w:w="558" w:type="dxa"/>
            <w:tcBorders>
              <w:top w:val="nil"/>
              <w:left w:val="single" w:sz="8" w:space="0" w:color="auto"/>
              <w:bottom w:val="single" w:sz="8"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471" w:type="dxa"/>
            <w:tcBorders>
              <w:top w:val="nil"/>
              <w:left w:val="nil"/>
              <w:bottom w:val="single" w:sz="8"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8" w:type="dxa"/>
            <w:tcBorders>
              <w:top w:val="nil"/>
              <w:left w:val="nil"/>
              <w:bottom w:val="single" w:sz="8"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471" w:type="dxa"/>
            <w:tcBorders>
              <w:top w:val="nil"/>
              <w:left w:val="nil"/>
              <w:bottom w:val="single" w:sz="8"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60</w:t>
            </w:r>
          </w:p>
        </w:tc>
        <w:tc>
          <w:tcPr>
            <w:tcW w:w="558" w:type="dxa"/>
            <w:tcBorders>
              <w:top w:val="nil"/>
              <w:left w:val="nil"/>
              <w:bottom w:val="single" w:sz="8"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471" w:type="dxa"/>
            <w:tcBorders>
              <w:top w:val="nil"/>
              <w:left w:val="nil"/>
              <w:bottom w:val="single" w:sz="8"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8" w:type="dxa"/>
            <w:tcBorders>
              <w:top w:val="nil"/>
              <w:left w:val="nil"/>
              <w:bottom w:val="single" w:sz="8"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471" w:type="dxa"/>
            <w:tcBorders>
              <w:top w:val="nil"/>
              <w:left w:val="nil"/>
              <w:bottom w:val="single" w:sz="8"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100</w:t>
            </w:r>
          </w:p>
        </w:tc>
      </w:tr>
    </w:tbl>
    <w:p w:rsidR="006B6143" w:rsidRDefault="006B6143" w:rsidP="00F0448E">
      <w:pPr>
        <w:spacing w:after="0" w:line="240" w:lineRule="auto"/>
        <w:rPr>
          <w:rFonts w:ascii="Arial" w:hAnsi="Arial" w:cs="Arial"/>
          <w:sz w:val="20"/>
          <w:szCs w:val="20"/>
        </w:rPr>
      </w:pPr>
    </w:p>
    <w:p w:rsidR="006B6143" w:rsidRPr="006B6143" w:rsidRDefault="006B6143" w:rsidP="00F0448E">
      <w:pPr>
        <w:spacing w:after="0" w:line="240" w:lineRule="auto"/>
        <w:rPr>
          <w:rFonts w:ascii="Arial" w:hAnsi="Arial" w:cs="Arial"/>
          <w:b/>
          <w:sz w:val="20"/>
          <w:szCs w:val="20"/>
        </w:rPr>
      </w:pPr>
      <w:r w:rsidRPr="006B6143">
        <w:rPr>
          <w:rFonts w:ascii="Arial" w:hAnsi="Arial" w:cs="Arial"/>
          <w:b/>
          <w:sz w:val="20"/>
          <w:szCs w:val="20"/>
        </w:rPr>
        <w:t xml:space="preserve">Scheme 2: 50 units </w:t>
      </w:r>
    </w:p>
    <w:p w:rsidR="006B6143" w:rsidRDefault="006B6143" w:rsidP="00F0448E">
      <w:pPr>
        <w:spacing w:after="0" w:line="240" w:lineRule="auto"/>
        <w:rPr>
          <w:rFonts w:ascii="Arial" w:hAnsi="Arial" w:cs="Arial"/>
          <w:sz w:val="20"/>
          <w:szCs w:val="20"/>
        </w:rPr>
      </w:pPr>
    </w:p>
    <w:tbl>
      <w:tblPr>
        <w:tblW w:w="12960" w:type="dxa"/>
        <w:tblInd w:w="93" w:type="dxa"/>
        <w:tblLook w:val="04A0" w:firstRow="1" w:lastRow="0" w:firstColumn="1" w:lastColumn="0" w:noHBand="0" w:noVBand="1"/>
      </w:tblPr>
      <w:tblGrid>
        <w:gridCol w:w="2160"/>
        <w:gridCol w:w="558"/>
        <w:gridCol w:w="557"/>
        <w:gridCol w:w="557"/>
        <w:gridCol w:w="557"/>
        <w:gridCol w:w="483"/>
        <w:gridCol w:w="558"/>
        <w:gridCol w:w="557"/>
        <w:gridCol w:w="557"/>
        <w:gridCol w:w="557"/>
        <w:gridCol w:w="483"/>
        <w:gridCol w:w="558"/>
        <w:gridCol w:w="557"/>
        <w:gridCol w:w="557"/>
        <w:gridCol w:w="557"/>
        <w:gridCol w:w="483"/>
        <w:gridCol w:w="558"/>
        <w:gridCol w:w="557"/>
        <w:gridCol w:w="557"/>
        <w:gridCol w:w="557"/>
        <w:gridCol w:w="483"/>
      </w:tblGrid>
      <w:tr w:rsidR="006B6143" w:rsidRPr="006B6143" w:rsidTr="006B6143">
        <w:trPr>
          <w:trHeight w:val="225"/>
        </w:trPr>
        <w:tc>
          <w:tcPr>
            <w:tcW w:w="2160" w:type="dxa"/>
            <w:tcBorders>
              <w:top w:val="nil"/>
              <w:left w:val="nil"/>
              <w:bottom w:val="nil"/>
              <w:right w:val="nil"/>
            </w:tcBorders>
            <w:shd w:val="clear" w:color="auto" w:fill="auto"/>
            <w:noWrap/>
            <w:vAlign w:val="bottom"/>
            <w:hideMark/>
          </w:tcPr>
          <w:p w:rsidR="006B6143" w:rsidRPr="006B6143" w:rsidRDefault="006B6143" w:rsidP="006B6143">
            <w:pPr>
              <w:spacing w:after="0" w:line="240" w:lineRule="auto"/>
              <w:rPr>
                <w:rFonts w:ascii="Arial" w:eastAsia="Times New Roman" w:hAnsi="Arial" w:cs="Arial"/>
                <w:color w:val="000000"/>
                <w:sz w:val="16"/>
                <w:szCs w:val="16"/>
                <w:lang w:eastAsia="en-GB"/>
              </w:rPr>
            </w:pPr>
          </w:p>
        </w:tc>
        <w:tc>
          <w:tcPr>
            <w:tcW w:w="2700" w:type="dxa"/>
            <w:gridSpan w:val="5"/>
            <w:tcBorders>
              <w:top w:val="single" w:sz="8" w:space="0" w:color="auto"/>
              <w:left w:val="single" w:sz="8" w:space="0" w:color="auto"/>
              <w:bottom w:val="single" w:sz="4" w:space="0" w:color="auto"/>
              <w:right w:val="single" w:sz="8" w:space="0" w:color="000000"/>
            </w:tcBorders>
            <w:shd w:val="clear" w:color="000000" w:fill="FCD5B4"/>
            <w:noWrap/>
            <w:vAlign w:val="bottom"/>
            <w:hideMark/>
          </w:tcPr>
          <w:p w:rsidR="006B6143" w:rsidRPr="006B6143" w:rsidRDefault="006B6143" w:rsidP="006B6143">
            <w:pPr>
              <w:spacing w:after="0" w:line="240" w:lineRule="auto"/>
              <w:jc w:val="center"/>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BLV1</w:t>
            </w:r>
          </w:p>
        </w:tc>
        <w:tc>
          <w:tcPr>
            <w:tcW w:w="2700" w:type="dxa"/>
            <w:gridSpan w:val="5"/>
            <w:tcBorders>
              <w:top w:val="single" w:sz="8" w:space="0" w:color="auto"/>
              <w:left w:val="nil"/>
              <w:bottom w:val="single" w:sz="4" w:space="0" w:color="auto"/>
              <w:right w:val="single" w:sz="8" w:space="0" w:color="000000"/>
            </w:tcBorders>
            <w:shd w:val="clear" w:color="000000" w:fill="FCD5B4"/>
            <w:noWrap/>
            <w:vAlign w:val="bottom"/>
            <w:hideMark/>
          </w:tcPr>
          <w:p w:rsidR="006B6143" w:rsidRPr="006B6143" w:rsidRDefault="006B6143" w:rsidP="006B6143">
            <w:pPr>
              <w:spacing w:after="0" w:line="240" w:lineRule="auto"/>
              <w:jc w:val="center"/>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BLV2</w:t>
            </w:r>
          </w:p>
        </w:tc>
        <w:tc>
          <w:tcPr>
            <w:tcW w:w="2700" w:type="dxa"/>
            <w:gridSpan w:val="5"/>
            <w:tcBorders>
              <w:top w:val="single" w:sz="8" w:space="0" w:color="auto"/>
              <w:left w:val="nil"/>
              <w:bottom w:val="single" w:sz="4" w:space="0" w:color="auto"/>
              <w:right w:val="single" w:sz="8" w:space="0" w:color="000000"/>
            </w:tcBorders>
            <w:shd w:val="clear" w:color="000000" w:fill="D8E4BC"/>
            <w:noWrap/>
            <w:vAlign w:val="bottom"/>
            <w:hideMark/>
          </w:tcPr>
          <w:p w:rsidR="006B6143" w:rsidRPr="006B6143" w:rsidRDefault="006B6143" w:rsidP="006B6143">
            <w:pPr>
              <w:spacing w:after="0" w:line="240" w:lineRule="auto"/>
              <w:jc w:val="center"/>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BLV3</w:t>
            </w:r>
          </w:p>
        </w:tc>
        <w:tc>
          <w:tcPr>
            <w:tcW w:w="2700" w:type="dxa"/>
            <w:gridSpan w:val="5"/>
            <w:tcBorders>
              <w:top w:val="single" w:sz="8" w:space="0" w:color="auto"/>
              <w:left w:val="nil"/>
              <w:bottom w:val="single" w:sz="4" w:space="0" w:color="auto"/>
              <w:right w:val="single" w:sz="8" w:space="0" w:color="000000"/>
            </w:tcBorders>
            <w:shd w:val="clear" w:color="000000" w:fill="D8E4BC"/>
            <w:noWrap/>
            <w:vAlign w:val="bottom"/>
            <w:hideMark/>
          </w:tcPr>
          <w:p w:rsidR="006B6143" w:rsidRPr="006B6143" w:rsidRDefault="006B6143" w:rsidP="006B6143">
            <w:pPr>
              <w:spacing w:after="0" w:line="240" w:lineRule="auto"/>
              <w:jc w:val="center"/>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BLV4</w:t>
            </w:r>
          </w:p>
        </w:tc>
      </w:tr>
      <w:tr w:rsidR="006B6143" w:rsidRPr="006B6143" w:rsidTr="006B6143">
        <w:trPr>
          <w:trHeight w:val="225"/>
        </w:trPr>
        <w:tc>
          <w:tcPr>
            <w:tcW w:w="2160" w:type="dxa"/>
            <w:tcBorders>
              <w:top w:val="nil"/>
              <w:left w:val="nil"/>
              <w:bottom w:val="nil"/>
              <w:right w:val="nil"/>
            </w:tcBorders>
            <w:shd w:val="clear" w:color="auto" w:fill="auto"/>
            <w:noWrap/>
            <w:vAlign w:val="bottom"/>
            <w:hideMark/>
          </w:tcPr>
          <w:p w:rsidR="006B6143" w:rsidRPr="006B6143" w:rsidRDefault="006B6143" w:rsidP="006B6143">
            <w:pPr>
              <w:spacing w:after="0" w:line="240" w:lineRule="auto"/>
              <w:rPr>
                <w:rFonts w:ascii="Arial" w:eastAsia="Times New Roman" w:hAnsi="Arial" w:cs="Arial"/>
                <w:color w:val="000000"/>
                <w:sz w:val="16"/>
                <w:szCs w:val="16"/>
                <w:lang w:eastAsia="en-GB"/>
              </w:rPr>
            </w:pPr>
          </w:p>
        </w:tc>
        <w:tc>
          <w:tcPr>
            <w:tcW w:w="558" w:type="dxa"/>
            <w:tcBorders>
              <w:top w:val="nil"/>
              <w:left w:val="single" w:sz="8" w:space="0" w:color="auto"/>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40%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10%</w:t>
            </w:r>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0%</w:t>
            </w:r>
          </w:p>
        </w:tc>
        <w:tc>
          <w:tcPr>
            <w:tcW w:w="558"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40%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10%</w:t>
            </w:r>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0%</w:t>
            </w:r>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40%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10%</w:t>
            </w:r>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0%</w:t>
            </w:r>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40%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10%</w:t>
            </w:r>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0%</w:t>
            </w:r>
          </w:p>
        </w:tc>
      </w:tr>
      <w:tr w:rsidR="006B6143" w:rsidRPr="006B6143" w:rsidTr="006B6143">
        <w:trPr>
          <w:trHeight w:val="225"/>
        </w:trPr>
        <w:tc>
          <w:tcPr>
            <w:tcW w:w="2160" w:type="dxa"/>
            <w:tcBorders>
              <w:top w:val="single" w:sz="4" w:space="0" w:color="auto"/>
              <w:left w:val="single" w:sz="4" w:space="0" w:color="auto"/>
              <w:bottom w:val="single" w:sz="4" w:space="0" w:color="auto"/>
              <w:right w:val="nil"/>
            </w:tcBorders>
            <w:shd w:val="clear" w:color="auto" w:fill="auto"/>
            <w:noWrap/>
            <w:vAlign w:val="bottom"/>
            <w:hideMark/>
          </w:tcPr>
          <w:p w:rsidR="006B6143" w:rsidRPr="006B6143" w:rsidRDefault="006B6143" w:rsidP="006B6143">
            <w:pPr>
              <w:spacing w:after="0" w:line="240" w:lineRule="auto"/>
              <w:rPr>
                <w:rFonts w:ascii="Arial" w:eastAsia="Times New Roman" w:hAnsi="Arial" w:cs="Arial"/>
                <w:sz w:val="16"/>
                <w:szCs w:val="16"/>
                <w:lang w:eastAsia="en-GB"/>
              </w:rPr>
            </w:pPr>
            <w:r w:rsidRPr="006B6143">
              <w:rPr>
                <w:rFonts w:ascii="Arial" w:eastAsia="Times New Roman" w:hAnsi="Arial" w:cs="Arial"/>
                <w:sz w:val="16"/>
                <w:szCs w:val="16"/>
                <w:lang w:eastAsia="en-GB"/>
              </w:rPr>
              <w:t xml:space="preserve">Warwick </w:t>
            </w:r>
          </w:p>
        </w:tc>
        <w:tc>
          <w:tcPr>
            <w:tcW w:w="558" w:type="dxa"/>
            <w:tcBorders>
              <w:top w:val="nil"/>
              <w:left w:val="single" w:sz="8" w:space="0" w:color="auto"/>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8"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r>
      <w:tr w:rsidR="006B6143" w:rsidRPr="006B6143" w:rsidTr="006B6143">
        <w:trPr>
          <w:trHeight w:val="225"/>
        </w:trPr>
        <w:tc>
          <w:tcPr>
            <w:tcW w:w="2160" w:type="dxa"/>
            <w:tcBorders>
              <w:top w:val="nil"/>
              <w:left w:val="single" w:sz="4" w:space="0" w:color="auto"/>
              <w:bottom w:val="single" w:sz="4" w:space="0" w:color="auto"/>
              <w:right w:val="nil"/>
            </w:tcBorders>
            <w:shd w:val="clear" w:color="auto" w:fill="auto"/>
            <w:noWrap/>
            <w:vAlign w:val="bottom"/>
            <w:hideMark/>
          </w:tcPr>
          <w:p w:rsidR="006B6143" w:rsidRPr="006B6143" w:rsidRDefault="006B6143" w:rsidP="006B6143">
            <w:pPr>
              <w:spacing w:after="0" w:line="240" w:lineRule="auto"/>
              <w:rPr>
                <w:rFonts w:ascii="Arial" w:eastAsia="Times New Roman" w:hAnsi="Arial" w:cs="Arial"/>
                <w:sz w:val="16"/>
                <w:szCs w:val="16"/>
                <w:lang w:eastAsia="en-GB"/>
              </w:rPr>
            </w:pPr>
            <w:r w:rsidRPr="006B6143">
              <w:rPr>
                <w:rFonts w:ascii="Arial" w:eastAsia="Times New Roman" w:hAnsi="Arial" w:cs="Arial"/>
                <w:sz w:val="16"/>
                <w:szCs w:val="16"/>
                <w:lang w:eastAsia="en-GB"/>
              </w:rPr>
              <w:t xml:space="preserve">Leamington Spa </w:t>
            </w:r>
          </w:p>
        </w:tc>
        <w:tc>
          <w:tcPr>
            <w:tcW w:w="558" w:type="dxa"/>
            <w:tcBorders>
              <w:top w:val="nil"/>
              <w:left w:val="single" w:sz="8" w:space="0" w:color="auto"/>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160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8"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60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280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120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120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r>
      <w:tr w:rsidR="006B6143" w:rsidRPr="006B6143" w:rsidTr="006B6143">
        <w:trPr>
          <w:trHeight w:val="225"/>
        </w:trPr>
        <w:tc>
          <w:tcPr>
            <w:tcW w:w="2160" w:type="dxa"/>
            <w:tcBorders>
              <w:top w:val="nil"/>
              <w:left w:val="single" w:sz="4" w:space="0" w:color="auto"/>
              <w:bottom w:val="single" w:sz="4" w:space="0" w:color="auto"/>
              <w:right w:val="nil"/>
            </w:tcBorders>
            <w:shd w:val="clear" w:color="auto" w:fill="auto"/>
            <w:noWrap/>
            <w:vAlign w:val="bottom"/>
            <w:hideMark/>
          </w:tcPr>
          <w:p w:rsidR="006B6143" w:rsidRPr="006B6143" w:rsidRDefault="006B6143" w:rsidP="006B6143">
            <w:pPr>
              <w:spacing w:after="0" w:line="240" w:lineRule="auto"/>
              <w:rPr>
                <w:rFonts w:ascii="Arial" w:eastAsia="Times New Roman" w:hAnsi="Arial" w:cs="Arial"/>
                <w:sz w:val="16"/>
                <w:szCs w:val="16"/>
                <w:lang w:eastAsia="en-GB"/>
              </w:rPr>
            </w:pPr>
            <w:r w:rsidRPr="006B6143">
              <w:rPr>
                <w:rFonts w:ascii="Arial" w:eastAsia="Times New Roman" w:hAnsi="Arial" w:cs="Arial"/>
                <w:sz w:val="16"/>
                <w:szCs w:val="16"/>
                <w:lang w:eastAsia="en-GB"/>
              </w:rPr>
              <w:t xml:space="preserve">Kenilworth </w:t>
            </w:r>
          </w:p>
        </w:tc>
        <w:tc>
          <w:tcPr>
            <w:tcW w:w="558" w:type="dxa"/>
            <w:tcBorders>
              <w:top w:val="nil"/>
              <w:left w:val="single" w:sz="8" w:space="0" w:color="auto"/>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60</w:t>
            </w:r>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220</w:t>
            </w:r>
          </w:p>
        </w:tc>
        <w:tc>
          <w:tcPr>
            <w:tcW w:w="558"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160</w:t>
            </w:r>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180</w:t>
            </w:r>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200</w:t>
            </w:r>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r>
      <w:tr w:rsidR="006B6143" w:rsidRPr="006B6143" w:rsidTr="006B6143">
        <w:trPr>
          <w:trHeight w:val="225"/>
        </w:trPr>
        <w:tc>
          <w:tcPr>
            <w:tcW w:w="2160" w:type="dxa"/>
            <w:tcBorders>
              <w:top w:val="nil"/>
              <w:left w:val="single" w:sz="4" w:space="0" w:color="auto"/>
              <w:bottom w:val="single" w:sz="4" w:space="0" w:color="auto"/>
              <w:right w:val="nil"/>
            </w:tcBorders>
            <w:shd w:val="clear" w:color="auto" w:fill="auto"/>
            <w:noWrap/>
            <w:vAlign w:val="bottom"/>
            <w:hideMark/>
          </w:tcPr>
          <w:p w:rsidR="006B6143" w:rsidRPr="006B6143" w:rsidRDefault="006B6143" w:rsidP="006B6143">
            <w:pPr>
              <w:spacing w:after="0" w:line="240" w:lineRule="auto"/>
              <w:rPr>
                <w:rFonts w:ascii="Arial" w:eastAsia="Times New Roman" w:hAnsi="Arial" w:cs="Arial"/>
                <w:sz w:val="16"/>
                <w:szCs w:val="16"/>
                <w:lang w:eastAsia="en-GB"/>
              </w:rPr>
            </w:pPr>
            <w:r w:rsidRPr="006B6143">
              <w:rPr>
                <w:rFonts w:ascii="Arial" w:eastAsia="Times New Roman" w:hAnsi="Arial" w:cs="Arial"/>
                <w:sz w:val="16"/>
                <w:szCs w:val="16"/>
                <w:lang w:eastAsia="en-GB"/>
              </w:rPr>
              <w:t>Rural areas (higher value)</w:t>
            </w:r>
          </w:p>
        </w:tc>
        <w:tc>
          <w:tcPr>
            <w:tcW w:w="558" w:type="dxa"/>
            <w:tcBorders>
              <w:top w:val="nil"/>
              <w:left w:val="single" w:sz="8" w:space="0" w:color="auto"/>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140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8"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280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7" w:type="dxa"/>
            <w:tcBorders>
              <w:top w:val="nil"/>
              <w:left w:val="nil"/>
              <w:bottom w:val="single" w:sz="4"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471" w:type="dxa"/>
            <w:tcBorders>
              <w:top w:val="nil"/>
              <w:left w:val="nil"/>
              <w:bottom w:val="single" w:sz="4"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20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8"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557" w:type="dxa"/>
            <w:tcBorders>
              <w:top w:val="nil"/>
              <w:left w:val="nil"/>
              <w:bottom w:val="single" w:sz="4"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c>
          <w:tcPr>
            <w:tcW w:w="471" w:type="dxa"/>
            <w:tcBorders>
              <w:top w:val="nil"/>
              <w:left w:val="nil"/>
              <w:bottom w:val="single" w:sz="4"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300</w:t>
            </w:r>
          </w:p>
        </w:tc>
      </w:tr>
      <w:tr w:rsidR="006B6143" w:rsidRPr="006B6143" w:rsidTr="006B6143">
        <w:trPr>
          <w:trHeight w:val="240"/>
        </w:trPr>
        <w:tc>
          <w:tcPr>
            <w:tcW w:w="2160" w:type="dxa"/>
            <w:tcBorders>
              <w:top w:val="nil"/>
              <w:left w:val="single" w:sz="4" w:space="0" w:color="auto"/>
              <w:bottom w:val="single" w:sz="4" w:space="0" w:color="auto"/>
              <w:right w:val="nil"/>
            </w:tcBorders>
            <w:shd w:val="clear" w:color="auto" w:fill="auto"/>
            <w:noWrap/>
            <w:vAlign w:val="bottom"/>
            <w:hideMark/>
          </w:tcPr>
          <w:p w:rsidR="006B6143" w:rsidRPr="006B6143" w:rsidRDefault="006B6143" w:rsidP="006B6143">
            <w:pPr>
              <w:spacing w:after="0" w:line="240" w:lineRule="auto"/>
              <w:rPr>
                <w:rFonts w:ascii="Arial" w:eastAsia="Times New Roman" w:hAnsi="Arial" w:cs="Arial"/>
                <w:sz w:val="16"/>
                <w:szCs w:val="16"/>
                <w:lang w:eastAsia="en-GB"/>
              </w:rPr>
            </w:pPr>
            <w:r w:rsidRPr="006B6143">
              <w:rPr>
                <w:rFonts w:ascii="Arial" w:eastAsia="Times New Roman" w:hAnsi="Arial" w:cs="Arial"/>
                <w:sz w:val="16"/>
                <w:szCs w:val="16"/>
                <w:lang w:eastAsia="en-GB"/>
              </w:rPr>
              <w:t>Rural areas (lower value)</w:t>
            </w:r>
          </w:p>
        </w:tc>
        <w:tc>
          <w:tcPr>
            <w:tcW w:w="558" w:type="dxa"/>
            <w:tcBorders>
              <w:top w:val="nil"/>
              <w:left w:val="single" w:sz="8" w:space="0" w:color="auto"/>
              <w:bottom w:val="single" w:sz="8"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471" w:type="dxa"/>
            <w:tcBorders>
              <w:top w:val="nil"/>
              <w:left w:val="nil"/>
              <w:bottom w:val="single" w:sz="8"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8" w:type="dxa"/>
            <w:tcBorders>
              <w:top w:val="nil"/>
              <w:left w:val="nil"/>
              <w:bottom w:val="single" w:sz="8"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471" w:type="dxa"/>
            <w:tcBorders>
              <w:top w:val="nil"/>
              <w:left w:val="nil"/>
              <w:bottom w:val="single" w:sz="8" w:space="0" w:color="auto"/>
              <w:right w:val="single" w:sz="8" w:space="0" w:color="auto"/>
            </w:tcBorders>
            <w:shd w:val="clear" w:color="000000" w:fill="FCD5B4"/>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60</w:t>
            </w:r>
          </w:p>
        </w:tc>
        <w:tc>
          <w:tcPr>
            <w:tcW w:w="558" w:type="dxa"/>
            <w:tcBorders>
              <w:top w:val="nil"/>
              <w:left w:val="nil"/>
              <w:bottom w:val="single" w:sz="8"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471" w:type="dxa"/>
            <w:tcBorders>
              <w:top w:val="nil"/>
              <w:left w:val="nil"/>
              <w:bottom w:val="single" w:sz="8"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80</w:t>
            </w:r>
          </w:p>
        </w:tc>
        <w:tc>
          <w:tcPr>
            <w:tcW w:w="558" w:type="dxa"/>
            <w:tcBorders>
              <w:top w:val="nil"/>
              <w:left w:val="nil"/>
              <w:bottom w:val="single" w:sz="8"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557" w:type="dxa"/>
            <w:tcBorders>
              <w:top w:val="nil"/>
              <w:left w:val="nil"/>
              <w:bottom w:val="single" w:sz="8" w:space="0" w:color="auto"/>
              <w:right w:val="single" w:sz="4"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proofErr w:type="spellStart"/>
            <w:r w:rsidRPr="006B6143">
              <w:rPr>
                <w:rFonts w:ascii="Arial" w:eastAsia="Times New Roman" w:hAnsi="Arial" w:cs="Arial"/>
                <w:color w:val="000000"/>
                <w:sz w:val="16"/>
                <w:szCs w:val="16"/>
                <w:lang w:eastAsia="en-GB"/>
              </w:rPr>
              <w:t>nv</w:t>
            </w:r>
            <w:proofErr w:type="spellEnd"/>
          </w:p>
        </w:tc>
        <w:tc>
          <w:tcPr>
            <w:tcW w:w="471" w:type="dxa"/>
            <w:tcBorders>
              <w:top w:val="nil"/>
              <w:left w:val="nil"/>
              <w:bottom w:val="single" w:sz="8" w:space="0" w:color="auto"/>
              <w:right w:val="single" w:sz="8" w:space="0" w:color="auto"/>
            </w:tcBorders>
            <w:shd w:val="clear" w:color="000000" w:fill="D8E4BC"/>
            <w:noWrap/>
            <w:vAlign w:val="bottom"/>
            <w:hideMark/>
          </w:tcPr>
          <w:p w:rsidR="006B6143" w:rsidRPr="006B6143" w:rsidRDefault="006B6143" w:rsidP="006B6143">
            <w:pPr>
              <w:spacing w:after="0" w:line="240" w:lineRule="auto"/>
              <w:jc w:val="right"/>
              <w:rPr>
                <w:rFonts w:ascii="Arial" w:eastAsia="Times New Roman" w:hAnsi="Arial" w:cs="Arial"/>
                <w:color w:val="000000"/>
                <w:sz w:val="16"/>
                <w:szCs w:val="16"/>
                <w:lang w:eastAsia="en-GB"/>
              </w:rPr>
            </w:pPr>
            <w:r w:rsidRPr="006B6143">
              <w:rPr>
                <w:rFonts w:ascii="Arial" w:eastAsia="Times New Roman" w:hAnsi="Arial" w:cs="Arial"/>
                <w:color w:val="000000"/>
                <w:sz w:val="16"/>
                <w:szCs w:val="16"/>
                <w:lang w:eastAsia="en-GB"/>
              </w:rPr>
              <w:t>100</w:t>
            </w:r>
          </w:p>
        </w:tc>
      </w:tr>
    </w:tbl>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p>
    <w:p w:rsidR="006B6143" w:rsidRDefault="006B6143" w:rsidP="00F0448E">
      <w:pPr>
        <w:spacing w:after="0" w:line="240" w:lineRule="auto"/>
        <w:rPr>
          <w:rFonts w:ascii="Arial" w:hAnsi="Arial" w:cs="Arial"/>
          <w:sz w:val="20"/>
          <w:szCs w:val="20"/>
        </w:rPr>
      </w:pPr>
      <w:r>
        <w:rPr>
          <w:rFonts w:ascii="Arial" w:hAnsi="Arial" w:cs="Arial"/>
          <w:sz w:val="20"/>
          <w:szCs w:val="20"/>
        </w:rPr>
        <w:t xml:space="preserve">Note: n/v = not viable </w:t>
      </w:r>
    </w:p>
    <w:sectPr w:rsidR="006B6143" w:rsidSect="006B6143">
      <w:headerReference w:type="default" r:id="rId10"/>
      <w:footerReference w:type="default" r:id="rId11"/>
      <w:pgSz w:w="16838" w:h="11906" w:orient="landscape"/>
      <w:pgMar w:top="1440" w:right="184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305" w:rsidRDefault="00177305" w:rsidP="000B3BE9">
      <w:pPr>
        <w:spacing w:after="0" w:line="240" w:lineRule="auto"/>
      </w:pPr>
      <w:r>
        <w:separator/>
      </w:r>
    </w:p>
  </w:endnote>
  <w:endnote w:type="continuationSeparator" w:id="0">
    <w:p w:rsidR="00177305" w:rsidRDefault="00177305" w:rsidP="000B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43" w:rsidRDefault="006B6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305" w:rsidRDefault="00177305" w:rsidP="000B3BE9">
      <w:pPr>
        <w:spacing w:after="0" w:line="240" w:lineRule="auto"/>
      </w:pPr>
      <w:r>
        <w:separator/>
      </w:r>
    </w:p>
  </w:footnote>
  <w:footnote w:type="continuationSeparator" w:id="0">
    <w:p w:rsidR="00177305" w:rsidRDefault="00177305" w:rsidP="000B3BE9">
      <w:pPr>
        <w:spacing w:after="0" w:line="240" w:lineRule="auto"/>
      </w:pPr>
      <w:r>
        <w:continuationSeparator/>
      </w:r>
    </w:p>
  </w:footnote>
  <w:footnote w:id="1">
    <w:p w:rsidR="002652E8" w:rsidRPr="002652E8" w:rsidRDefault="002652E8">
      <w:pPr>
        <w:pStyle w:val="FootnoteText"/>
        <w:rPr>
          <w:rFonts w:ascii="Arial" w:hAnsi="Arial" w:cs="Arial"/>
          <w:sz w:val="16"/>
        </w:rPr>
      </w:pPr>
      <w:r>
        <w:rPr>
          <w:rStyle w:val="FootnoteReference"/>
        </w:rPr>
        <w:footnoteRef/>
      </w:r>
      <w:r>
        <w:t xml:space="preserve"> </w:t>
      </w:r>
      <w:r w:rsidRPr="002652E8">
        <w:rPr>
          <w:rFonts w:ascii="Arial" w:hAnsi="Arial" w:cs="Arial"/>
          <w:sz w:val="16"/>
        </w:rPr>
        <w:t>‘</w:t>
      </w:r>
      <w:r w:rsidRPr="002652E8">
        <w:rPr>
          <w:rFonts w:ascii="Arial" w:hAnsi="Arial" w:cs="Arial"/>
          <w:i/>
          <w:sz w:val="16"/>
        </w:rPr>
        <w:t>Community Infrastructure Levy and Sheltered Housing/Extra Care Developments: A briefing note on viability prepared for Retirement Housing Group by Three Dragons’</w:t>
      </w:r>
      <w:r w:rsidRPr="002652E8">
        <w:rPr>
          <w:rFonts w:ascii="Arial" w:hAnsi="Arial" w:cs="Arial"/>
          <w:sz w:val="16"/>
        </w:rPr>
        <w:t xml:space="preserve"> May 2013, amended February 2016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BE9" w:rsidRDefault="000B3BE9" w:rsidP="000B3BE9">
    <w:pPr>
      <w:pStyle w:val="Header"/>
      <w:pBdr>
        <w:bottom w:val="single" w:sz="4" w:space="1" w:color="auto"/>
      </w:pBdr>
      <w:jc w:val="right"/>
    </w:pPr>
    <w:r>
      <w:rPr>
        <w:noProof/>
        <w:lang w:eastAsia="en-GB"/>
      </w:rPr>
      <w:drawing>
        <wp:inline distT="0" distB="0" distL="0" distR="0" wp14:anchorId="493050BF" wp14:editId="5D9694D7">
          <wp:extent cx="1701893"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p-paribas-real-estate450.jpg"/>
                  <pic:cNvPicPr/>
                </pic:nvPicPr>
                <pic:blipFill>
                  <a:blip r:embed="rId1">
                    <a:extLst>
                      <a:ext uri="{28A0092B-C50C-407E-A947-70E740481C1C}">
                        <a14:useLocalDpi xmlns:a14="http://schemas.microsoft.com/office/drawing/2010/main" val="0"/>
                      </a:ext>
                    </a:extLst>
                  </a:blip>
                  <a:stretch>
                    <a:fillRect/>
                  </a:stretch>
                </pic:blipFill>
                <pic:spPr>
                  <a:xfrm>
                    <a:off x="0" y="0"/>
                    <a:ext cx="1701893" cy="51435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143" w:rsidRDefault="006B6143" w:rsidP="000B3BE9">
    <w:pPr>
      <w:pStyle w:val="Header"/>
      <w:pBdr>
        <w:bottom w:val="single" w:sz="4" w:space="1" w:color="auto"/>
      </w:pBdr>
      <w:jc w:val="right"/>
    </w:pPr>
    <w:r>
      <w:rPr>
        <w:noProof/>
        <w:lang w:eastAsia="en-GB"/>
      </w:rPr>
      <w:drawing>
        <wp:inline distT="0" distB="0" distL="0" distR="0" wp14:anchorId="68557383" wp14:editId="313D5ADB">
          <wp:extent cx="1701893"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np-paribas-real-estate450.jpg"/>
                  <pic:cNvPicPr/>
                </pic:nvPicPr>
                <pic:blipFill>
                  <a:blip r:embed="rId1">
                    <a:extLst>
                      <a:ext uri="{28A0092B-C50C-407E-A947-70E740481C1C}">
                        <a14:useLocalDpi xmlns:a14="http://schemas.microsoft.com/office/drawing/2010/main" val="0"/>
                      </a:ext>
                    </a:extLst>
                  </a:blip>
                  <a:stretch>
                    <a:fillRect/>
                  </a:stretch>
                </pic:blipFill>
                <pic:spPr>
                  <a:xfrm>
                    <a:off x="0" y="0"/>
                    <a:ext cx="1701893" cy="5143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51315"/>
    <w:multiLevelType w:val="hybridMultilevel"/>
    <w:tmpl w:val="8798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203C9B"/>
    <w:multiLevelType w:val="hybridMultilevel"/>
    <w:tmpl w:val="D0F25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555E9F"/>
    <w:multiLevelType w:val="hybridMultilevel"/>
    <w:tmpl w:val="AE50C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8150EE"/>
    <w:multiLevelType w:val="hybridMultilevel"/>
    <w:tmpl w:val="13DE8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89B2844"/>
    <w:multiLevelType w:val="hybridMultilevel"/>
    <w:tmpl w:val="C4F233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BE9"/>
    <w:rsid w:val="0003726C"/>
    <w:rsid w:val="000B3BE9"/>
    <w:rsid w:val="00153B86"/>
    <w:rsid w:val="00177305"/>
    <w:rsid w:val="00185A8B"/>
    <w:rsid w:val="002652E8"/>
    <w:rsid w:val="00292CE9"/>
    <w:rsid w:val="003B1492"/>
    <w:rsid w:val="003F5BF8"/>
    <w:rsid w:val="004D6585"/>
    <w:rsid w:val="00501293"/>
    <w:rsid w:val="00566C1B"/>
    <w:rsid w:val="0069215F"/>
    <w:rsid w:val="006B6143"/>
    <w:rsid w:val="00700B58"/>
    <w:rsid w:val="0082411B"/>
    <w:rsid w:val="008362F3"/>
    <w:rsid w:val="008D4C28"/>
    <w:rsid w:val="00933A4B"/>
    <w:rsid w:val="009556B4"/>
    <w:rsid w:val="0098416D"/>
    <w:rsid w:val="00B06680"/>
    <w:rsid w:val="00B4201F"/>
    <w:rsid w:val="00B61CC8"/>
    <w:rsid w:val="00BB67A3"/>
    <w:rsid w:val="00C21DDD"/>
    <w:rsid w:val="00CA6060"/>
    <w:rsid w:val="00CF1023"/>
    <w:rsid w:val="00F04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BE9"/>
  </w:style>
  <w:style w:type="paragraph" w:styleId="Footer">
    <w:name w:val="footer"/>
    <w:basedOn w:val="Normal"/>
    <w:link w:val="FooterChar"/>
    <w:uiPriority w:val="99"/>
    <w:unhideWhenUsed/>
    <w:rsid w:val="000B3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BE9"/>
  </w:style>
  <w:style w:type="paragraph" w:styleId="BalloonText">
    <w:name w:val="Balloon Text"/>
    <w:basedOn w:val="Normal"/>
    <w:link w:val="BalloonTextChar"/>
    <w:uiPriority w:val="99"/>
    <w:semiHidden/>
    <w:unhideWhenUsed/>
    <w:rsid w:val="000B3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BE9"/>
    <w:rPr>
      <w:rFonts w:ascii="Tahoma" w:hAnsi="Tahoma" w:cs="Tahoma"/>
      <w:sz w:val="16"/>
      <w:szCs w:val="16"/>
    </w:rPr>
  </w:style>
  <w:style w:type="paragraph" w:styleId="ListParagraph">
    <w:name w:val="List Paragraph"/>
    <w:basedOn w:val="Normal"/>
    <w:uiPriority w:val="34"/>
    <w:qFormat/>
    <w:rsid w:val="0069215F"/>
    <w:pPr>
      <w:ind w:left="720"/>
      <w:contextualSpacing/>
    </w:pPr>
  </w:style>
  <w:style w:type="paragraph" w:styleId="FootnoteText">
    <w:name w:val="footnote text"/>
    <w:basedOn w:val="Normal"/>
    <w:link w:val="FootnoteTextChar"/>
    <w:uiPriority w:val="99"/>
    <w:semiHidden/>
    <w:unhideWhenUsed/>
    <w:rsid w:val="002652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2E8"/>
    <w:rPr>
      <w:sz w:val="20"/>
      <w:szCs w:val="20"/>
    </w:rPr>
  </w:style>
  <w:style w:type="character" w:styleId="FootnoteReference">
    <w:name w:val="footnote reference"/>
    <w:basedOn w:val="DefaultParagraphFont"/>
    <w:uiPriority w:val="99"/>
    <w:semiHidden/>
    <w:unhideWhenUsed/>
    <w:rsid w:val="002652E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B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3BE9"/>
  </w:style>
  <w:style w:type="paragraph" w:styleId="Footer">
    <w:name w:val="footer"/>
    <w:basedOn w:val="Normal"/>
    <w:link w:val="FooterChar"/>
    <w:uiPriority w:val="99"/>
    <w:unhideWhenUsed/>
    <w:rsid w:val="000B3B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BE9"/>
  </w:style>
  <w:style w:type="paragraph" w:styleId="BalloonText">
    <w:name w:val="Balloon Text"/>
    <w:basedOn w:val="Normal"/>
    <w:link w:val="BalloonTextChar"/>
    <w:uiPriority w:val="99"/>
    <w:semiHidden/>
    <w:unhideWhenUsed/>
    <w:rsid w:val="000B3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BE9"/>
    <w:rPr>
      <w:rFonts w:ascii="Tahoma" w:hAnsi="Tahoma" w:cs="Tahoma"/>
      <w:sz w:val="16"/>
      <w:szCs w:val="16"/>
    </w:rPr>
  </w:style>
  <w:style w:type="paragraph" w:styleId="ListParagraph">
    <w:name w:val="List Paragraph"/>
    <w:basedOn w:val="Normal"/>
    <w:uiPriority w:val="34"/>
    <w:qFormat/>
    <w:rsid w:val="0069215F"/>
    <w:pPr>
      <w:ind w:left="720"/>
      <w:contextualSpacing/>
    </w:pPr>
  </w:style>
  <w:style w:type="paragraph" w:styleId="FootnoteText">
    <w:name w:val="footnote text"/>
    <w:basedOn w:val="Normal"/>
    <w:link w:val="FootnoteTextChar"/>
    <w:uiPriority w:val="99"/>
    <w:semiHidden/>
    <w:unhideWhenUsed/>
    <w:rsid w:val="002652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2E8"/>
    <w:rPr>
      <w:sz w:val="20"/>
      <w:szCs w:val="20"/>
    </w:rPr>
  </w:style>
  <w:style w:type="character" w:styleId="FootnoteReference">
    <w:name w:val="footnote reference"/>
    <w:basedOn w:val="DefaultParagraphFont"/>
    <w:uiPriority w:val="99"/>
    <w:semiHidden/>
    <w:unhideWhenUsed/>
    <w:rsid w:val="002652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587285">
      <w:bodyDiv w:val="1"/>
      <w:marLeft w:val="0"/>
      <w:marRight w:val="0"/>
      <w:marTop w:val="0"/>
      <w:marBottom w:val="0"/>
      <w:divBdr>
        <w:top w:val="none" w:sz="0" w:space="0" w:color="auto"/>
        <w:left w:val="none" w:sz="0" w:space="0" w:color="auto"/>
        <w:bottom w:val="none" w:sz="0" w:space="0" w:color="auto"/>
        <w:right w:val="none" w:sz="0" w:space="0" w:color="auto"/>
      </w:divBdr>
    </w:div>
    <w:div w:id="405957760">
      <w:bodyDiv w:val="1"/>
      <w:marLeft w:val="0"/>
      <w:marRight w:val="0"/>
      <w:marTop w:val="0"/>
      <w:marBottom w:val="0"/>
      <w:divBdr>
        <w:top w:val="none" w:sz="0" w:space="0" w:color="auto"/>
        <w:left w:val="none" w:sz="0" w:space="0" w:color="auto"/>
        <w:bottom w:val="none" w:sz="0" w:space="0" w:color="auto"/>
        <w:right w:val="none" w:sz="0" w:space="0" w:color="auto"/>
      </w:divBdr>
    </w:div>
    <w:div w:id="479615559">
      <w:bodyDiv w:val="1"/>
      <w:marLeft w:val="0"/>
      <w:marRight w:val="0"/>
      <w:marTop w:val="0"/>
      <w:marBottom w:val="0"/>
      <w:divBdr>
        <w:top w:val="none" w:sz="0" w:space="0" w:color="auto"/>
        <w:left w:val="none" w:sz="0" w:space="0" w:color="auto"/>
        <w:bottom w:val="none" w:sz="0" w:space="0" w:color="auto"/>
        <w:right w:val="none" w:sz="0" w:space="0" w:color="auto"/>
      </w:divBdr>
    </w:div>
    <w:div w:id="655260884">
      <w:bodyDiv w:val="1"/>
      <w:marLeft w:val="0"/>
      <w:marRight w:val="0"/>
      <w:marTop w:val="0"/>
      <w:marBottom w:val="0"/>
      <w:divBdr>
        <w:top w:val="none" w:sz="0" w:space="0" w:color="auto"/>
        <w:left w:val="none" w:sz="0" w:space="0" w:color="auto"/>
        <w:bottom w:val="none" w:sz="0" w:space="0" w:color="auto"/>
        <w:right w:val="none" w:sz="0" w:space="0" w:color="auto"/>
      </w:divBdr>
    </w:div>
    <w:div w:id="765882560">
      <w:bodyDiv w:val="1"/>
      <w:marLeft w:val="0"/>
      <w:marRight w:val="0"/>
      <w:marTop w:val="0"/>
      <w:marBottom w:val="0"/>
      <w:divBdr>
        <w:top w:val="none" w:sz="0" w:space="0" w:color="auto"/>
        <w:left w:val="none" w:sz="0" w:space="0" w:color="auto"/>
        <w:bottom w:val="none" w:sz="0" w:space="0" w:color="auto"/>
        <w:right w:val="none" w:sz="0" w:space="0" w:color="auto"/>
      </w:divBdr>
    </w:div>
    <w:div w:id="886642199">
      <w:bodyDiv w:val="1"/>
      <w:marLeft w:val="0"/>
      <w:marRight w:val="0"/>
      <w:marTop w:val="0"/>
      <w:marBottom w:val="0"/>
      <w:divBdr>
        <w:top w:val="none" w:sz="0" w:space="0" w:color="auto"/>
        <w:left w:val="none" w:sz="0" w:space="0" w:color="auto"/>
        <w:bottom w:val="none" w:sz="0" w:space="0" w:color="auto"/>
        <w:right w:val="none" w:sz="0" w:space="0" w:color="auto"/>
      </w:divBdr>
    </w:div>
    <w:div w:id="1053692953">
      <w:bodyDiv w:val="1"/>
      <w:marLeft w:val="0"/>
      <w:marRight w:val="0"/>
      <w:marTop w:val="0"/>
      <w:marBottom w:val="0"/>
      <w:divBdr>
        <w:top w:val="none" w:sz="0" w:space="0" w:color="auto"/>
        <w:left w:val="none" w:sz="0" w:space="0" w:color="auto"/>
        <w:bottom w:val="none" w:sz="0" w:space="0" w:color="auto"/>
        <w:right w:val="none" w:sz="0" w:space="0" w:color="auto"/>
      </w:divBdr>
    </w:div>
    <w:div w:id="1213617299">
      <w:bodyDiv w:val="1"/>
      <w:marLeft w:val="0"/>
      <w:marRight w:val="0"/>
      <w:marTop w:val="0"/>
      <w:marBottom w:val="0"/>
      <w:divBdr>
        <w:top w:val="none" w:sz="0" w:space="0" w:color="auto"/>
        <w:left w:val="none" w:sz="0" w:space="0" w:color="auto"/>
        <w:bottom w:val="none" w:sz="0" w:space="0" w:color="auto"/>
        <w:right w:val="none" w:sz="0" w:space="0" w:color="auto"/>
      </w:divBdr>
    </w:div>
    <w:div w:id="1227835049">
      <w:bodyDiv w:val="1"/>
      <w:marLeft w:val="0"/>
      <w:marRight w:val="0"/>
      <w:marTop w:val="0"/>
      <w:marBottom w:val="0"/>
      <w:divBdr>
        <w:top w:val="none" w:sz="0" w:space="0" w:color="auto"/>
        <w:left w:val="none" w:sz="0" w:space="0" w:color="auto"/>
        <w:bottom w:val="none" w:sz="0" w:space="0" w:color="auto"/>
        <w:right w:val="none" w:sz="0" w:space="0" w:color="auto"/>
      </w:divBdr>
    </w:div>
    <w:div w:id="1386105177">
      <w:bodyDiv w:val="1"/>
      <w:marLeft w:val="0"/>
      <w:marRight w:val="0"/>
      <w:marTop w:val="0"/>
      <w:marBottom w:val="0"/>
      <w:divBdr>
        <w:top w:val="none" w:sz="0" w:space="0" w:color="auto"/>
        <w:left w:val="none" w:sz="0" w:space="0" w:color="auto"/>
        <w:bottom w:val="none" w:sz="0" w:space="0" w:color="auto"/>
        <w:right w:val="none" w:sz="0" w:space="0" w:color="auto"/>
      </w:divBdr>
    </w:div>
    <w:div w:id="1574462752">
      <w:bodyDiv w:val="1"/>
      <w:marLeft w:val="0"/>
      <w:marRight w:val="0"/>
      <w:marTop w:val="0"/>
      <w:marBottom w:val="0"/>
      <w:divBdr>
        <w:top w:val="none" w:sz="0" w:space="0" w:color="auto"/>
        <w:left w:val="none" w:sz="0" w:space="0" w:color="auto"/>
        <w:bottom w:val="none" w:sz="0" w:space="0" w:color="auto"/>
        <w:right w:val="none" w:sz="0" w:space="0" w:color="auto"/>
      </w:divBdr>
    </w:div>
    <w:div w:id="176607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BE5C1-17ED-428F-ADEA-6BB006513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1037</Words>
  <Characters>5911</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BNP Paribas Real Estate</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Lee</dc:creator>
  <cp:lastModifiedBy>Dave Barber</cp:lastModifiedBy>
  <cp:revision>2</cp:revision>
  <dcterms:created xsi:type="dcterms:W3CDTF">2017-07-20T14:46:00Z</dcterms:created>
  <dcterms:modified xsi:type="dcterms:W3CDTF">2017-07-20T14:46:00Z</dcterms:modified>
</cp:coreProperties>
</file>